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B0C7" w14:textId="5E3FF557" w:rsidR="003731F9" w:rsidRDefault="005A31B0" w:rsidP="00A323F6">
      <w:pPr>
        <w:spacing w:line="480" w:lineRule="auto"/>
        <w:jc w:val="center"/>
      </w:pPr>
      <w:r>
        <w:t xml:space="preserve">Consistent </w:t>
      </w:r>
      <w:r w:rsidR="00A323F6">
        <w:t xml:space="preserve">Federal Educational Reform </w:t>
      </w:r>
      <w:r w:rsidR="00F96EB3">
        <w:t>Failure</w:t>
      </w:r>
      <w:r w:rsidR="00FF784A">
        <w:t>: A Case Study of</w:t>
      </w:r>
      <w:r w:rsidR="003731F9">
        <w:t xml:space="preserve"> Nebraska</w:t>
      </w:r>
      <w:r w:rsidR="00183E04">
        <w:t xml:space="preserve"> from 2010-2019</w:t>
      </w:r>
    </w:p>
    <w:p w14:paraId="6C29F6D0" w14:textId="20EE8233" w:rsidR="003731F9" w:rsidRDefault="003731F9" w:rsidP="00A323F6">
      <w:pPr>
        <w:spacing w:line="480" w:lineRule="auto"/>
        <w:jc w:val="center"/>
      </w:pPr>
    </w:p>
    <w:p w14:paraId="3A9E22F9" w14:textId="69DB904C" w:rsidR="003731F9" w:rsidRDefault="003731F9" w:rsidP="005F1D35">
      <w:pPr>
        <w:spacing w:line="480" w:lineRule="auto"/>
        <w:jc w:val="center"/>
      </w:pPr>
      <w:r>
        <w:t>Bert Peterson</w:t>
      </w:r>
      <w:r w:rsidR="005F1D35">
        <w:t>, Hastings, Nebraska</w:t>
      </w:r>
    </w:p>
    <w:p w14:paraId="48489DE1" w14:textId="115BC6A0" w:rsidR="003731F9" w:rsidRDefault="003731F9" w:rsidP="005F1D35">
      <w:pPr>
        <w:spacing w:line="480" w:lineRule="auto"/>
        <w:jc w:val="center"/>
      </w:pPr>
      <w:r>
        <w:t>Robert B</w:t>
      </w:r>
      <w:r w:rsidR="00BE3FD6">
        <w:t>l</w:t>
      </w:r>
      <w:r>
        <w:t>igh</w:t>
      </w:r>
      <w:r w:rsidR="005F1D35">
        <w:t>, San Antonio, Texas</w:t>
      </w:r>
    </w:p>
    <w:p w14:paraId="648E50CA" w14:textId="77765FB0" w:rsidR="003731F9" w:rsidRDefault="003731F9" w:rsidP="00A323F6">
      <w:pPr>
        <w:spacing w:line="480" w:lineRule="auto"/>
        <w:jc w:val="center"/>
      </w:pPr>
      <w:r>
        <w:t>Daniel H. Robinson, The University of Texas at Arlington</w:t>
      </w:r>
    </w:p>
    <w:p w14:paraId="662DECB8" w14:textId="77777777" w:rsidR="00C97BCD" w:rsidRDefault="00C97BCD" w:rsidP="00C97BCD">
      <w:pPr>
        <w:spacing w:line="480" w:lineRule="auto"/>
        <w:jc w:val="center"/>
        <w:rPr>
          <w:b/>
          <w:bCs/>
          <w:color w:val="000000"/>
        </w:rPr>
      </w:pPr>
    </w:p>
    <w:p w14:paraId="32C31E39" w14:textId="77777777" w:rsidR="00C97BCD" w:rsidRDefault="00C97BCD" w:rsidP="00C97BCD">
      <w:pPr>
        <w:spacing w:line="480" w:lineRule="auto"/>
        <w:jc w:val="center"/>
        <w:rPr>
          <w:b/>
          <w:bCs/>
          <w:color w:val="000000"/>
        </w:rPr>
      </w:pPr>
    </w:p>
    <w:p w14:paraId="68C73226" w14:textId="77777777" w:rsidR="00C97BCD" w:rsidRDefault="00C97BCD" w:rsidP="00C97BCD">
      <w:pPr>
        <w:spacing w:line="480" w:lineRule="auto"/>
        <w:jc w:val="center"/>
        <w:rPr>
          <w:b/>
          <w:bCs/>
          <w:color w:val="000000"/>
        </w:rPr>
      </w:pPr>
    </w:p>
    <w:p w14:paraId="598E61A9" w14:textId="77777777" w:rsidR="00C97BCD" w:rsidRDefault="00C97BCD" w:rsidP="00C97BCD">
      <w:pPr>
        <w:spacing w:line="480" w:lineRule="auto"/>
        <w:jc w:val="center"/>
        <w:rPr>
          <w:b/>
          <w:bCs/>
          <w:color w:val="000000"/>
        </w:rPr>
      </w:pPr>
    </w:p>
    <w:p w14:paraId="6FD873AA" w14:textId="77777777" w:rsidR="00C97BCD" w:rsidRDefault="00C97BCD" w:rsidP="00C97BCD">
      <w:pPr>
        <w:spacing w:line="480" w:lineRule="auto"/>
        <w:jc w:val="center"/>
        <w:rPr>
          <w:b/>
          <w:bCs/>
          <w:color w:val="000000"/>
        </w:rPr>
      </w:pPr>
    </w:p>
    <w:p w14:paraId="17E9DB54" w14:textId="77777777" w:rsidR="00C97BCD" w:rsidRDefault="00C97BCD" w:rsidP="00C97BCD">
      <w:pPr>
        <w:spacing w:line="480" w:lineRule="auto"/>
        <w:jc w:val="center"/>
        <w:rPr>
          <w:b/>
          <w:bCs/>
          <w:color w:val="000000"/>
        </w:rPr>
      </w:pPr>
    </w:p>
    <w:p w14:paraId="07A0ED25" w14:textId="77777777" w:rsidR="00C97BCD" w:rsidRDefault="00C97BCD" w:rsidP="00C97BCD">
      <w:pPr>
        <w:spacing w:line="480" w:lineRule="auto"/>
        <w:jc w:val="center"/>
        <w:rPr>
          <w:b/>
          <w:bCs/>
          <w:color w:val="000000"/>
        </w:rPr>
      </w:pPr>
    </w:p>
    <w:p w14:paraId="475FF823" w14:textId="77777777" w:rsidR="00C97BCD" w:rsidRDefault="00C97BCD" w:rsidP="00C97BCD">
      <w:pPr>
        <w:spacing w:line="480" w:lineRule="auto"/>
        <w:jc w:val="center"/>
        <w:rPr>
          <w:b/>
          <w:bCs/>
          <w:color w:val="000000"/>
        </w:rPr>
      </w:pPr>
    </w:p>
    <w:p w14:paraId="0C4C2E0C" w14:textId="77777777" w:rsidR="00C97BCD" w:rsidRDefault="00C97BCD" w:rsidP="00C97BCD">
      <w:pPr>
        <w:spacing w:line="480" w:lineRule="auto"/>
        <w:jc w:val="center"/>
        <w:rPr>
          <w:b/>
          <w:bCs/>
          <w:color w:val="000000"/>
        </w:rPr>
      </w:pPr>
    </w:p>
    <w:p w14:paraId="4DDA86DF" w14:textId="20D61617" w:rsidR="00C97BCD" w:rsidRDefault="00C97BCD" w:rsidP="00C97BCD">
      <w:pPr>
        <w:spacing w:line="480" w:lineRule="auto"/>
        <w:jc w:val="center"/>
        <w:rPr>
          <w:b/>
          <w:bCs/>
          <w:color w:val="000000"/>
        </w:rPr>
      </w:pPr>
    </w:p>
    <w:p w14:paraId="501A3AAF" w14:textId="194A381C" w:rsidR="006A00CB" w:rsidRDefault="006A00CB" w:rsidP="00C97BCD">
      <w:pPr>
        <w:spacing w:line="480" w:lineRule="auto"/>
        <w:jc w:val="center"/>
        <w:rPr>
          <w:b/>
          <w:bCs/>
          <w:color w:val="000000"/>
        </w:rPr>
      </w:pPr>
    </w:p>
    <w:p w14:paraId="4F5754F3" w14:textId="77777777" w:rsidR="006A00CB" w:rsidRDefault="006A00CB" w:rsidP="00C97BCD">
      <w:pPr>
        <w:spacing w:line="480" w:lineRule="auto"/>
        <w:jc w:val="center"/>
        <w:rPr>
          <w:b/>
          <w:bCs/>
          <w:color w:val="000000"/>
        </w:rPr>
      </w:pPr>
    </w:p>
    <w:p w14:paraId="48C084ED" w14:textId="77777777" w:rsidR="00C97BCD" w:rsidRDefault="00C97BCD" w:rsidP="00C97BCD">
      <w:pPr>
        <w:spacing w:line="480" w:lineRule="auto"/>
        <w:jc w:val="center"/>
        <w:rPr>
          <w:b/>
          <w:bCs/>
          <w:color w:val="000000"/>
        </w:rPr>
      </w:pPr>
    </w:p>
    <w:p w14:paraId="0D3989D6" w14:textId="5374F3F9" w:rsidR="00C97BCD" w:rsidRPr="00C77B37" w:rsidRDefault="00C97BCD" w:rsidP="00C97BCD">
      <w:pPr>
        <w:spacing w:line="480" w:lineRule="auto"/>
        <w:jc w:val="center"/>
        <w:rPr>
          <w:b/>
          <w:bCs/>
          <w:color w:val="000000"/>
        </w:rPr>
      </w:pPr>
      <w:r w:rsidRPr="00C77B37">
        <w:rPr>
          <w:b/>
          <w:bCs/>
          <w:color w:val="000000"/>
        </w:rPr>
        <w:t>Author Note</w:t>
      </w:r>
    </w:p>
    <w:p w14:paraId="73698CEA" w14:textId="77777777" w:rsidR="00C97BCD" w:rsidRPr="00C77B37" w:rsidRDefault="00C97BCD" w:rsidP="00C97BCD">
      <w:pPr>
        <w:ind w:firstLine="720"/>
      </w:pPr>
      <w:r w:rsidRPr="00C77B37">
        <w:rPr>
          <w:color w:val="000000"/>
        </w:rPr>
        <w:t xml:space="preserve">Daniel H. Robinson </w:t>
      </w:r>
      <w:hyperlink r:id="rId8" w:history="1">
        <w:r w:rsidRPr="00C77B37">
          <w:rPr>
            <w:rStyle w:val="Hyperlink"/>
            <w:color w:val="0563C1"/>
          </w:rPr>
          <w:t>https://orcid.org/0000-0003-1285-1155</w:t>
        </w:r>
      </w:hyperlink>
    </w:p>
    <w:p w14:paraId="334FD35C" w14:textId="77777777" w:rsidR="00C97BCD" w:rsidRPr="00C77B37" w:rsidRDefault="00C97BCD" w:rsidP="00C97BCD">
      <w:pPr>
        <w:ind w:firstLine="720"/>
      </w:pPr>
    </w:p>
    <w:p w14:paraId="1640A30C" w14:textId="6856FCE6" w:rsidR="00C97BCD" w:rsidRPr="00C97BCD" w:rsidRDefault="00C97BCD" w:rsidP="00C97BCD">
      <w:pPr>
        <w:spacing w:line="480" w:lineRule="auto"/>
        <w:ind w:firstLine="720"/>
        <w:rPr>
          <w:color w:val="0563C1" w:themeColor="hyperlink"/>
          <w:u w:val="single"/>
        </w:rPr>
      </w:pPr>
      <w:r w:rsidRPr="00C77B37">
        <w:rPr>
          <w:color w:val="000000"/>
        </w:rPr>
        <w:t xml:space="preserve">Correspondence concerning this article should be addressed to Daniel H. Robinson, College of Education, The University of Texas at Arlington, 504 Hammond Hall, Arlington, TX 76019. Email: </w:t>
      </w:r>
      <w:hyperlink r:id="rId9" w:history="1">
        <w:r w:rsidRPr="00C77B37">
          <w:rPr>
            <w:rStyle w:val="Hyperlink"/>
          </w:rPr>
          <w:t>daniel.robinson@uta.edu</w:t>
        </w:r>
      </w:hyperlink>
    </w:p>
    <w:p w14:paraId="0E21B5BD" w14:textId="7CB3BC02" w:rsidR="00C97BCD" w:rsidRPr="00F823A7" w:rsidRDefault="00C97BCD" w:rsidP="00C97BCD">
      <w:pPr>
        <w:jc w:val="center"/>
        <w:rPr>
          <w:b/>
          <w:bCs/>
        </w:rPr>
      </w:pPr>
      <w:r w:rsidRPr="00F823A7">
        <w:rPr>
          <w:b/>
          <w:bCs/>
        </w:rPr>
        <w:lastRenderedPageBreak/>
        <w:t>Abstract</w:t>
      </w:r>
    </w:p>
    <w:p w14:paraId="6C09804B" w14:textId="6A199916" w:rsidR="003731F9" w:rsidRDefault="003731F9" w:rsidP="00A323F6">
      <w:pPr>
        <w:spacing w:line="480" w:lineRule="auto"/>
      </w:pPr>
    </w:p>
    <w:p w14:paraId="7312C552" w14:textId="46F99E87" w:rsidR="00185F76" w:rsidRDefault="00185F76" w:rsidP="00A323F6">
      <w:pPr>
        <w:spacing w:line="480" w:lineRule="auto"/>
      </w:pPr>
      <w:r>
        <w:t xml:space="preserve">Beginning with the Elementary and Secondary Education Act (ESEA) of 1965, the federal government has been trying unsuccessfully to fix education and raise the performance of poor students. The more recent reauthorizations of ESEA, </w:t>
      </w:r>
      <w:r w:rsidRPr="00C84AB7">
        <w:rPr>
          <w:i/>
          <w:iCs/>
        </w:rPr>
        <w:t>No Child Left Behind</w:t>
      </w:r>
      <w:r>
        <w:t xml:space="preserve"> </w:t>
      </w:r>
      <w:r w:rsidR="005B1CB5">
        <w:t xml:space="preserve">(2001) </w:t>
      </w:r>
      <w:r>
        <w:t xml:space="preserve">and </w:t>
      </w:r>
      <w:r w:rsidRPr="00C84AB7">
        <w:rPr>
          <w:i/>
          <w:iCs/>
        </w:rPr>
        <w:t>Every Student Succeeds</w:t>
      </w:r>
      <w:r>
        <w:t xml:space="preserve"> (ESS)</w:t>
      </w:r>
      <w:r w:rsidR="005B1CB5">
        <w:t xml:space="preserve"> (20</w:t>
      </w:r>
      <w:r w:rsidR="006E63CC">
        <w:t>15</w:t>
      </w:r>
      <w:r w:rsidR="005B1CB5">
        <w:t>)</w:t>
      </w:r>
      <w:r>
        <w:t xml:space="preserve">, </w:t>
      </w:r>
      <w:r w:rsidR="00C84AB7">
        <w:t>hold</w:t>
      </w:r>
      <w:r>
        <w:t xml:space="preserve"> teacher</w:t>
      </w:r>
      <w:r w:rsidR="00C84AB7">
        <w:t>s</w:t>
      </w:r>
      <w:r>
        <w:t xml:space="preserve"> and administrator</w:t>
      </w:r>
      <w:r w:rsidR="00C84AB7">
        <w:t>s</w:t>
      </w:r>
      <w:r>
        <w:t xml:space="preserve"> accountab</w:t>
      </w:r>
      <w:r w:rsidR="00C84AB7">
        <w:t>le for student performance</w:t>
      </w:r>
      <w:r>
        <w:t xml:space="preserve"> and simply sham</w:t>
      </w:r>
      <w:r w:rsidR="00C84AB7">
        <w:t>e</w:t>
      </w:r>
      <w:r>
        <w:t xml:space="preserve"> the underperforming schools. These </w:t>
      </w:r>
      <w:r w:rsidR="00D17FA7">
        <w:t xml:space="preserve">continued </w:t>
      </w:r>
      <w:r>
        <w:t xml:space="preserve">unsuccessful efforts have ignored the warning in </w:t>
      </w:r>
      <w:r w:rsidR="006E63CC">
        <w:t>the</w:t>
      </w:r>
      <w:r>
        <w:t xml:space="preserve"> Coleman </w:t>
      </w:r>
      <w:r w:rsidR="006E63CC">
        <w:t xml:space="preserve">Report </w:t>
      </w:r>
      <w:r>
        <w:t>in 196</w:t>
      </w:r>
      <w:r w:rsidR="006E63CC">
        <w:t>6</w:t>
      </w:r>
      <w:r>
        <w:t xml:space="preserve"> that education has relatively little influence on student achievement compared to factors outside of school. In this </w:t>
      </w:r>
      <w:r w:rsidR="001120C9">
        <w:t>paper</w:t>
      </w:r>
      <w:r>
        <w:t>, we focus on the state of Nebraska’s responses to the</w:t>
      </w:r>
      <w:r w:rsidR="00D17FA7">
        <w:t>se</w:t>
      </w:r>
      <w:r>
        <w:t xml:space="preserve"> latest federal </w:t>
      </w:r>
      <w:proofErr w:type="spellStart"/>
      <w:r>
        <w:t>bullsh</w:t>
      </w:r>
      <w:proofErr w:type="spellEnd"/>
      <w:r>
        <w:t>-initiative</w:t>
      </w:r>
      <w:r w:rsidR="00D17FA7">
        <w:t xml:space="preserve">s </w:t>
      </w:r>
      <w:r>
        <w:t xml:space="preserve">designed to improve the </w:t>
      </w:r>
      <w:r w:rsidR="006C0B0A">
        <w:t>“</w:t>
      </w:r>
      <w:r>
        <w:t>lowest performing</w:t>
      </w:r>
      <w:r w:rsidR="006C0B0A">
        <w:t>”</w:t>
      </w:r>
      <w:r>
        <w:t xml:space="preserve"> schools. Data provided by the Nebraska Department of Education </w:t>
      </w:r>
      <w:r w:rsidR="00367BA3">
        <w:t xml:space="preserve">for 2010-2019 </w:t>
      </w:r>
      <w:r>
        <w:t xml:space="preserve">revealed absolutely no </w:t>
      </w:r>
      <w:r w:rsidR="000C2713">
        <w:t xml:space="preserve">improvement or </w:t>
      </w:r>
      <w:r w:rsidR="00282C20">
        <w:t>reduction in achievement gaps</w:t>
      </w:r>
      <w:r>
        <w:t xml:space="preserve"> whatsoever. </w:t>
      </w:r>
      <w:r w:rsidR="00367BA3">
        <w:t xml:space="preserve">It is time taxpayers should demand accountability for insidious decisions that have cost </w:t>
      </w:r>
      <w:r w:rsidR="00D17FA7">
        <w:t xml:space="preserve">both </w:t>
      </w:r>
      <w:r w:rsidR="00367BA3">
        <w:t>billions</w:t>
      </w:r>
      <w:r w:rsidR="00D17FA7">
        <w:t xml:space="preserve"> of dollars and too many</w:t>
      </w:r>
      <w:r w:rsidR="00367BA3">
        <w:t xml:space="preserve"> teachers and administrators their jobs, shamed high-poverty schools, and yet produce nothing to show for it.</w:t>
      </w:r>
    </w:p>
    <w:p w14:paraId="1E15F705" w14:textId="4BB22B72" w:rsidR="00C97BCD" w:rsidRDefault="00BE3FD6">
      <w:r>
        <w:br w:type="page"/>
      </w:r>
    </w:p>
    <w:p w14:paraId="47BBC663" w14:textId="77777777" w:rsidR="003F03E5" w:rsidRDefault="003F03E5" w:rsidP="003F03E5">
      <w:pPr>
        <w:spacing w:line="480" w:lineRule="auto"/>
        <w:jc w:val="center"/>
      </w:pPr>
      <w:r>
        <w:lastRenderedPageBreak/>
        <w:t>Consistent Federal Educational Reform Failure: A Case Study of Nebraska from 2010-2019</w:t>
      </w:r>
    </w:p>
    <w:p w14:paraId="3FD4F296" w14:textId="77777777" w:rsidR="000048CA" w:rsidRDefault="000048CA" w:rsidP="000048CA">
      <w:pPr>
        <w:spacing w:line="480" w:lineRule="auto"/>
        <w:rPr>
          <w:sz w:val="22"/>
        </w:rPr>
      </w:pPr>
    </w:p>
    <w:p w14:paraId="74CEC8E1" w14:textId="2D38AA01" w:rsidR="00B47B98" w:rsidRPr="006A0EFA" w:rsidRDefault="00B47B98" w:rsidP="006A0EFA">
      <w:pPr>
        <w:spacing w:line="480" w:lineRule="auto"/>
        <w:ind w:left="720"/>
        <w:rPr>
          <w:sz w:val="22"/>
        </w:rPr>
      </w:pPr>
      <w:r w:rsidRPr="006A0EFA">
        <w:rPr>
          <w:sz w:val="22"/>
        </w:rPr>
        <w:t xml:space="preserve">The </w:t>
      </w:r>
      <w:proofErr w:type="gramStart"/>
      <w:r w:rsidRPr="006A0EFA">
        <w:rPr>
          <w:sz w:val="22"/>
        </w:rPr>
        <w:t>Emperor</w:t>
      </w:r>
      <w:proofErr w:type="gramEnd"/>
      <w:r w:rsidRPr="006A0EFA">
        <w:rPr>
          <w:sz w:val="22"/>
        </w:rPr>
        <w:t xml:space="preserve"> walked under his high canopy in the midst of the procession, through the streets </w:t>
      </w:r>
      <w:r w:rsidRPr="006A0EFA">
        <w:rPr>
          <w:sz w:val="22"/>
        </w:rPr>
        <w:br/>
        <w:t xml:space="preserve">of his capital. All the people standing by, and those at the windows, cried out, </w:t>
      </w:r>
      <w:r w:rsidR="001152E2">
        <w:rPr>
          <w:sz w:val="22"/>
        </w:rPr>
        <w:t>“</w:t>
      </w:r>
      <w:r w:rsidRPr="006A0EFA">
        <w:rPr>
          <w:sz w:val="22"/>
        </w:rPr>
        <w:t xml:space="preserve">Oh! How </w:t>
      </w:r>
      <w:r w:rsidRPr="006A0EFA">
        <w:rPr>
          <w:sz w:val="22"/>
        </w:rPr>
        <w:br/>
        <w:t xml:space="preserve">beautiful are our Emperor’s new clothes! What a magnificent train there is to the mantle; and </w:t>
      </w:r>
      <w:r w:rsidRPr="006A0EFA">
        <w:rPr>
          <w:sz w:val="22"/>
        </w:rPr>
        <w:br/>
        <w:t>how gracefully the scarf hangs!</w:t>
      </w:r>
      <w:r w:rsidR="001152E2">
        <w:rPr>
          <w:sz w:val="22"/>
        </w:rPr>
        <w:t>”</w:t>
      </w:r>
      <w:r w:rsidRPr="006A0EFA">
        <w:rPr>
          <w:sz w:val="22"/>
        </w:rPr>
        <w:t xml:space="preserve"> No one would admit these much-admired clothes could not be </w:t>
      </w:r>
      <w:r w:rsidRPr="006A0EFA">
        <w:rPr>
          <w:sz w:val="22"/>
        </w:rPr>
        <w:br/>
        <w:t xml:space="preserve">seen because, in doing so, he would have been saying he was either a simpleton or unfit for his </w:t>
      </w:r>
      <w:r w:rsidRPr="006A0EFA">
        <w:rPr>
          <w:sz w:val="22"/>
        </w:rPr>
        <w:br/>
        <w:t>job. (</w:t>
      </w:r>
      <w:r w:rsidRPr="001152E2">
        <w:rPr>
          <w:i/>
          <w:iCs/>
          <w:sz w:val="22"/>
        </w:rPr>
        <w:t>The Emperor’s New Clothes</w:t>
      </w:r>
      <w:r w:rsidRPr="006A0EFA">
        <w:rPr>
          <w:sz w:val="22"/>
        </w:rPr>
        <w:t xml:space="preserve"> by Hans Christian Anderson).</w:t>
      </w:r>
    </w:p>
    <w:p w14:paraId="64814BEB" w14:textId="179A8CF5" w:rsidR="00611CDB" w:rsidRDefault="006A0EFA" w:rsidP="00BE3FD6">
      <w:pPr>
        <w:spacing w:line="480" w:lineRule="auto"/>
        <w:ind w:firstLine="720"/>
      </w:pPr>
      <w:r>
        <w:t>When it comes to educational reform, a similar fear exists among those who</w:t>
      </w:r>
      <w:r w:rsidR="00E8257E">
        <w:t xml:space="preserve">, rather than pretending to see success, </w:t>
      </w:r>
      <w:r w:rsidR="006C0B0A">
        <w:t xml:space="preserve">clearly </w:t>
      </w:r>
      <w:r w:rsidR="00E8257E">
        <w:t>see</w:t>
      </w:r>
      <w:r>
        <w:t xml:space="preserve"> </w:t>
      </w:r>
      <w:r w:rsidR="007B7E33">
        <w:t xml:space="preserve">over fifty years of </w:t>
      </w:r>
      <w:r>
        <w:t xml:space="preserve">ineptitude. </w:t>
      </w:r>
      <w:r w:rsidR="00F357FD">
        <w:t>M</w:t>
      </w:r>
      <w:r>
        <w:t>ost stand on the sidelines and applaud the parade of continuous reform efforts aimed at fixing broken schools, teachers, and administrators. E</w:t>
      </w:r>
      <w:r w:rsidR="00611CDB">
        <w:t xml:space="preserve">ducators and students have </w:t>
      </w:r>
      <w:r>
        <w:t>been subjected to</w:t>
      </w:r>
      <w:r w:rsidR="00611CDB">
        <w:t xml:space="preserve"> extensive</w:t>
      </w:r>
      <w:r w:rsidR="00BE3FD6">
        <w:t>, federally</w:t>
      </w:r>
      <w:r w:rsidR="000C1EFE">
        <w:t xml:space="preserve"> </w:t>
      </w:r>
      <w:r w:rsidR="00BE3FD6">
        <w:t>ordered,</w:t>
      </w:r>
      <w:r w:rsidR="00611CDB">
        <w:t xml:space="preserve"> education reform efforts for over a half century. </w:t>
      </w:r>
      <w:r w:rsidR="00F357FD">
        <w:t xml:space="preserve">These reform efforts have cost taxpayers countless </w:t>
      </w:r>
      <w:r w:rsidR="001120C9">
        <w:t>b</w:t>
      </w:r>
      <w:r w:rsidR="00F357FD">
        <w:t>illions</w:t>
      </w:r>
      <w:r w:rsidR="00E8257E">
        <w:t xml:space="preserve"> and, </w:t>
      </w:r>
      <w:r w:rsidR="001120C9">
        <w:t>worse</w:t>
      </w:r>
      <w:r w:rsidR="00E8257E">
        <w:t>, cost educators their jobs</w:t>
      </w:r>
      <w:r w:rsidR="00F357FD">
        <w:t xml:space="preserve"> with little to show in the way of results. </w:t>
      </w:r>
      <w:r w:rsidR="00BE3FD6">
        <w:t>In t</w:t>
      </w:r>
      <w:r w:rsidR="00611CDB">
        <w:t>his paper</w:t>
      </w:r>
      <w:r w:rsidR="00BE3FD6">
        <w:t>,</w:t>
      </w:r>
      <w:r w:rsidR="00611CDB">
        <w:t xml:space="preserve"> </w:t>
      </w:r>
      <w:r w:rsidR="00BE3FD6">
        <w:t xml:space="preserve">we </w:t>
      </w:r>
      <w:r w:rsidR="00611CDB">
        <w:t xml:space="preserve">take a </w:t>
      </w:r>
      <w:r w:rsidR="00BE3FD6">
        <w:t xml:space="preserve">closer </w:t>
      </w:r>
      <w:r w:rsidR="00611CDB">
        <w:t>look at the impact of these federal efforts</w:t>
      </w:r>
      <w:r w:rsidR="000C1EFE">
        <w:t xml:space="preserve"> </w:t>
      </w:r>
      <w:r w:rsidR="00611CDB">
        <w:t>on Nebraska public schools</w:t>
      </w:r>
      <w:r w:rsidR="00BE3FD6">
        <w:t>’</w:t>
      </w:r>
      <w:r w:rsidR="00611CDB">
        <w:t xml:space="preserve"> </w:t>
      </w:r>
      <w:r w:rsidR="000C1EFE">
        <w:t xml:space="preserve">recent </w:t>
      </w:r>
      <w:r w:rsidR="00611CDB">
        <w:t xml:space="preserve">academic performance based on testing </w:t>
      </w:r>
      <w:r w:rsidR="00BE3FD6">
        <w:t>results</w:t>
      </w:r>
      <w:r w:rsidR="00611CDB">
        <w:t xml:space="preserve"> over the decade ending in the 2018-19 school year.</w:t>
      </w:r>
      <w:r>
        <w:t xml:space="preserve"> The question driving this </w:t>
      </w:r>
      <w:r w:rsidR="00F27CE2">
        <w:t>study</w:t>
      </w:r>
      <w:r>
        <w:t xml:space="preserve"> has been, </w:t>
      </w:r>
      <w:r w:rsidR="00F357FD">
        <w:t xml:space="preserve">simply, </w:t>
      </w:r>
      <w:r>
        <w:t>is it worth it?</w:t>
      </w:r>
    </w:p>
    <w:p w14:paraId="065A578D" w14:textId="4B9482B8" w:rsidR="00BE3FD6" w:rsidRPr="00BE3FD6" w:rsidRDefault="00BE3FD6" w:rsidP="00BE3FD6">
      <w:pPr>
        <w:spacing w:line="480" w:lineRule="auto"/>
        <w:jc w:val="center"/>
        <w:rPr>
          <w:b/>
          <w:bCs/>
        </w:rPr>
      </w:pPr>
      <w:r w:rsidRPr="00BE3FD6">
        <w:rPr>
          <w:b/>
          <w:bCs/>
        </w:rPr>
        <w:t xml:space="preserve">A History of </w:t>
      </w:r>
      <w:r w:rsidR="002B0A3C">
        <w:rPr>
          <w:b/>
          <w:bCs/>
        </w:rPr>
        <w:t xml:space="preserve">Reform </w:t>
      </w:r>
      <w:proofErr w:type="spellStart"/>
      <w:r w:rsidR="002B0A3C">
        <w:rPr>
          <w:b/>
          <w:bCs/>
        </w:rPr>
        <w:t>Bullsh</w:t>
      </w:r>
      <w:proofErr w:type="spellEnd"/>
      <w:r w:rsidR="002B0A3C">
        <w:rPr>
          <w:b/>
          <w:bCs/>
        </w:rPr>
        <w:t>-initiatives</w:t>
      </w:r>
    </w:p>
    <w:p w14:paraId="5351EE63" w14:textId="031A61F9" w:rsidR="007B7E33" w:rsidRDefault="005A31B0" w:rsidP="002B0A3C">
      <w:pPr>
        <w:spacing w:line="480" w:lineRule="auto"/>
        <w:ind w:firstLine="720"/>
      </w:pPr>
      <w:r>
        <w:t xml:space="preserve">It is no secret that </w:t>
      </w:r>
      <w:r w:rsidR="007B7E33">
        <w:t xml:space="preserve">throughout the history of the United States, </w:t>
      </w:r>
      <w:r w:rsidR="00612FAF">
        <w:t xml:space="preserve">underrepresented minorities (URM) </w:t>
      </w:r>
      <w:r>
        <w:t xml:space="preserve">have not experienced the same level of success as others. </w:t>
      </w:r>
      <w:r w:rsidR="007B7E33">
        <w:t>Any e</w:t>
      </w:r>
      <w:r w:rsidR="002D0D5B">
        <w:t xml:space="preserve">ffort to reverse this trend </w:t>
      </w:r>
      <w:r w:rsidR="00610724">
        <w:t xml:space="preserve">by trying to help URM children </w:t>
      </w:r>
      <w:r w:rsidR="007B7E33">
        <w:t>is unquestionably</w:t>
      </w:r>
      <w:r w:rsidR="002D0D5B">
        <w:t xml:space="preserve"> noble. But </w:t>
      </w:r>
      <w:r w:rsidR="007B7E33">
        <w:t xml:space="preserve">it is also </w:t>
      </w:r>
      <w:r w:rsidR="006712B1">
        <w:t>noble</w:t>
      </w:r>
      <w:r w:rsidR="002D0D5B">
        <w:t xml:space="preserve"> to evaluate whether </w:t>
      </w:r>
      <w:r w:rsidR="006712B1">
        <w:t xml:space="preserve">such </w:t>
      </w:r>
      <w:r w:rsidR="002D0D5B">
        <w:t xml:space="preserve">efforts result in success. </w:t>
      </w:r>
      <w:r w:rsidR="007B7E33">
        <w:t xml:space="preserve">Imagine if our </w:t>
      </w:r>
      <w:r w:rsidR="00610724">
        <w:t>government</w:t>
      </w:r>
      <w:r w:rsidR="00D4467E">
        <w:t xml:space="preserve"> proposed to</w:t>
      </w:r>
      <w:r w:rsidR="007B7E33">
        <w:t xml:space="preserve"> spen</w:t>
      </w:r>
      <w:r w:rsidR="00D4467E">
        <w:t>d</w:t>
      </w:r>
      <w:r w:rsidR="007B7E33">
        <w:t xml:space="preserve"> trillions of dollars on Ivermectin to treat Covid-19. Would we demand evidence that th</w:t>
      </w:r>
      <w:r w:rsidR="001152E2">
        <w:t>is</w:t>
      </w:r>
      <w:r w:rsidR="00D4467E">
        <w:t xml:space="preserve"> </w:t>
      </w:r>
      <w:r w:rsidR="00D4467E">
        <w:lastRenderedPageBreak/>
        <w:t>ineffective</w:t>
      </w:r>
      <w:r w:rsidR="007B7E33">
        <w:t xml:space="preserve"> treatment worked? Of course. But why do we not demand </w:t>
      </w:r>
      <w:r w:rsidR="00D4467E">
        <w:t xml:space="preserve">similar </w:t>
      </w:r>
      <w:r w:rsidR="007B7E33">
        <w:t>evidence that educational reform works?</w:t>
      </w:r>
    </w:p>
    <w:p w14:paraId="0FF1CCBB" w14:textId="65965544" w:rsidR="00DF4C74" w:rsidRDefault="00F21435" w:rsidP="002B0A3C">
      <w:pPr>
        <w:spacing w:line="480" w:lineRule="auto"/>
        <w:ind w:firstLine="720"/>
      </w:pPr>
      <w:r>
        <w:t>In 1965</w:t>
      </w:r>
      <w:r w:rsidR="00DF4C74">
        <w:t xml:space="preserve">, </w:t>
      </w:r>
      <w:r>
        <w:t xml:space="preserve">Assistant Secretary of Labor Daniel Patrick </w:t>
      </w:r>
      <w:r w:rsidR="00DF4C74">
        <w:t xml:space="preserve">Moynihan </w:t>
      </w:r>
      <w:r>
        <w:t>and his staff</w:t>
      </w:r>
      <w:r w:rsidR="00DF4C74">
        <w:t xml:space="preserve"> wrote</w:t>
      </w:r>
      <w:r>
        <w:t xml:space="preserve"> a report titled, </w:t>
      </w:r>
      <w:r w:rsidRPr="00F21435">
        <w:rPr>
          <w:i/>
          <w:iCs/>
        </w:rPr>
        <w:t>The Negro Family: The Case for National Action</w:t>
      </w:r>
      <w:r>
        <w:t>. The report concluded that civil rights legislation would not be enough to repair the damage done to African Americans. More would be required.</w:t>
      </w:r>
    </w:p>
    <w:p w14:paraId="11316F4B" w14:textId="73D10977" w:rsidR="00DF4C74" w:rsidRPr="000C1EFE" w:rsidRDefault="00DF4C74" w:rsidP="002B0A3C">
      <w:pPr>
        <w:spacing w:line="480" w:lineRule="auto"/>
        <w:ind w:left="720"/>
        <w:rPr>
          <w:sz w:val="22"/>
        </w:rPr>
      </w:pPr>
      <w:r w:rsidRPr="000C1EFE">
        <w:rPr>
          <w:sz w:val="22"/>
        </w:rPr>
        <w:t xml:space="preserve">In this new period the expectations of the </w:t>
      </w:r>
      <w:r w:rsidR="00AB2ECE" w:rsidRPr="000C1EFE">
        <w:rPr>
          <w:sz w:val="22"/>
        </w:rPr>
        <w:t>(African)</w:t>
      </w:r>
      <w:r w:rsidRPr="000C1EFE">
        <w:rPr>
          <w:sz w:val="22"/>
        </w:rPr>
        <w:t xml:space="preserve"> Americans will go beyond civil rights. Being Americans, they will now expect that </w:t>
      </w:r>
      <w:proofErr w:type="gramStart"/>
      <w:r w:rsidRPr="000C1EFE">
        <w:rPr>
          <w:sz w:val="22"/>
        </w:rPr>
        <w:t>in the near future</w:t>
      </w:r>
      <w:proofErr w:type="gramEnd"/>
      <w:r w:rsidRPr="000C1EFE">
        <w:rPr>
          <w:sz w:val="22"/>
        </w:rPr>
        <w:t xml:space="preserve"> equal opportunities for them as a group will produce roughly equal results, as compared with other groups. </w:t>
      </w:r>
      <w:r w:rsidRPr="000C1EFE">
        <w:rPr>
          <w:i/>
          <w:iCs/>
          <w:sz w:val="22"/>
        </w:rPr>
        <w:t>This is not going to happen</w:t>
      </w:r>
      <w:r w:rsidRPr="000C1EFE">
        <w:rPr>
          <w:sz w:val="22"/>
        </w:rPr>
        <w:t>. (</w:t>
      </w:r>
      <w:proofErr w:type="gramStart"/>
      <w:r w:rsidRPr="000C1EFE">
        <w:rPr>
          <w:sz w:val="22"/>
        </w:rPr>
        <w:t>italics</w:t>
      </w:r>
      <w:proofErr w:type="gramEnd"/>
      <w:r w:rsidRPr="000C1EFE">
        <w:rPr>
          <w:sz w:val="22"/>
        </w:rPr>
        <w:t xml:space="preserve"> added)</w:t>
      </w:r>
    </w:p>
    <w:p w14:paraId="2BFD423D" w14:textId="75756AC3" w:rsidR="002D0D5B" w:rsidRPr="002D0D5B" w:rsidRDefault="002D0D5B" w:rsidP="000004DE">
      <w:pPr>
        <w:spacing w:line="480" w:lineRule="auto"/>
      </w:pPr>
      <w:r>
        <w:rPr>
          <w:b/>
          <w:bCs/>
        </w:rPr>
        <w:tab/>
      </w:r>
      <w:r>
        <w:t xml:space="preserve">What will produce equal results? Some </w:t>
      </w:r>
      <w:r w:rsidR="00B92CCF">
        <w:t>believe that education is the solution. Ensure all citizens receive the same, quality education and the tide will turn for URM.</w:t>
      </w:r>
    </w:p>
    <w:p w14:paraId="2F9F1200" w14:textId="3F9AAD75" w:rsidR="000004DE" w:rsidRPr="000004DE" w:rsidRDefault="000004DE" w:rsidP="000004DE">
      <w:pPr>
        <w:spacing w:line="480" w:lineRule="auto"/>
        <w:rPr>
          <w:b/>
          <w:bCs/>
        </w:rPr>
      </w:pPr>
      <w:r>
        <w:rPr>
          <w:b/>
          <w:bCs/>
        </w:rPr>
        <w:t>Money for Schools with Impoverished Students</w:t>
      </w:r>
    </w:p>
    <w:p w14:paraId="0EB4A845" w14:textId="6117BF8D" w:rsidR="00D46FE9" w:rsidRDefault="00F21435" w:rsidP="002B0A3C">
      <w:pPr>
        <w:spacing w:line="480" w:lineRule="auto"/>
        <w:ind w:firstLine="720"/>
      </w:pPr>
      <w:r>
        <w:t xml:space="preserve">That same year, </w:t>
      </w:r>
      <w:r w:rsidR="00EE1EFC">
        <w:t xml:space="preserve">1965, </w:t>
      </w:r>
      <w:r>
        <w:t xml:space="preserve">President Lyndon Johnson signed into law the </w:t>
      </w:r>
      <w:r w:rsidRPr="00454545">
        <w:t>Elementary and Secondary Education Act (ESEA)</w:t>
      </w:r>
      <w:r>
        <w:t xml:space="preserve"> which provided federal money to schools that served impoverished children</w:t>
      </w:r>
      <w:r w:rsidR="006712B1">
        <w:t xml:space="preserve"> – many of which are URM</w:t>
      </w:r>
      <w:r>
        <w:t xml:space="preserve">. </w:t>
      </w:r>
      <w:r w:rsidR="005A31B0">
        <w:t xml:space="preserve">The goal was to increase the performance of </w:t>
      </w:r>
      <w:r w:rsidR="00EE1EFC">
        <w:t xml:space="preserve">poor </w:t>
      </w:r>
      <w:r w:rsidR="005A31B0">
        <w:t>students who had struggled to keep up with their wealthy</w:t>
      </w:r>
      <w:r w:rsidR="000004DE">
        <w:t>, more affluent</w:t>
      </w:r>
      <w:r w:rsidR="005A31B0">
        <w:t xml:space="preserve"> counterparts. </w:t>
      </w:r>
      <w:r w:rsidR="00986AAE">
        <w:t xml:space="preserve">Enter scapegoat number one: insufficient spending. </w:t>
      </w:r>
      <w:r w:rsidR="004433BE">
        <w:t>But w</w:t>
      </w:r>
      <w:r w:rsidR="00557438">
        <w:t xml:space="preserve">ould </w:t>
      </w:r>
      <w:r w:rsidR="00B92CCF">
        <w:t>spend</w:t>
      </w:r>
      <w:r w:rsidR="00EF033B">
        <w:t>ing</w:t>
      </w:r>
      <w:r w:rsidR="00557438">
        <w:t xml:space="preserve"> </w:t>
      </w:r>
      <w:r w:rsidR="00B92CCF">
        <w:t>more on e</w:t>
      </w:r>
      <w:r w:rsidR="00557438">
        <w:t xml:space="preserve">ducation lead to better performance for </w:t>
      </w:r>
      <w:r w:rsidR="006712B1">
        <w:t>poor</w:t>
      </w:r>
      <w:r w:rsidR="00557438">
        <w:t xml:space="preserve"> students? </w:t>
      </w:r>
      <w:r w:rsidR="00B92CCF">
        <w:t>T</w:t>
      </w:r>
      <w:r w:rsidR="00D3263F">
        <w:t xml:space="preserve">he </w:t>
      </w:r>
      <w:r w:rsidR="00611CDB">
        <w:t>congressionally</w:t>
      </w:r>
      <w:r w:rsidR="00EF033B">
        <w:t xml:space="preserve"> </w:t>
      </w:r>
      <w:r w:rsidR="00611CDB">
        <w:t xml:space="preserve">mandated </w:t>
      </w:r>
      <w:r w:rsidR="00ED6C1F">
        <w:t>(</w:t>
      </w:r>
      <w:r w:rsidR="006D1A5F">
        <w:t xml:space="preserve">by </w:t>
      </w:r>
      <w:r w:rsidR="00ED6C1F">
        <w:t xml:space="preserve">the Civil Rights Act of 1964) </w:t>
      </w:r>
      <w:r w:rsidR="00D3263F">
        <w:t xml:space="preserve">Coleman Report (1966) </w:t>
      </w:r>
      <w:r w:rsidR="00EE1EFC">
        <w:t xml:space="preserve">explored just that question. </w:t>
      </w:r>
      <w:r w:rsidR="00ED6C1F">
        <w:t>One of its findings was</w:t>
      </w:r>
      <w:r w:rsidR="00D3263F">
        <w:t xml:space="preserve"> that school quality </w:t>
      </w:r>
      <w:r w:rsidR="002A14C9">
        <w:t xml:space="preserve">measures </w:t>
      </w:r>
      <w:r w:rsidR="00D3263F">
        <w:t>(e.g., per pupil expenditure) had minimal correlations with student achievement, whereas family background</w:t>
      </w:r>
      <w:r w:rsidR="002A14C9">
        <w:t xml:space="preserve"> (e.g., income)</w:t>
      </w:r>
      <w:r w:rsidR="00D3263F">
        <w:t xml:space="preserve"> had large correlations with student achievement.</w:t>
      </w:r>
      <w:r w:rsidR="0063486C">
        <w:t xml:space="preserve"> Thus, </w:t>
      </w:r>
      <w:r>
        <w:t>it was</w:t>
      </w:r>
      <w:r w:rsidR="0063486C">
        <w:t xml:space="preserve"> conclu</w:t>
      </w:r>
      <w:r>
        <w:t>ded</w:t>
      </w:r>
      <w:r w:rsidR="0063486C">
        <w:t xml:space="preserve"> that increased spending on education would not lead to equality of student achievement.</w:t>
      </w:r>
    </w:p>
    <w:p w14:paraId="09F2685B" w14:textId="77777777" w:rsidR="006D1A5F" w:rsidRDefault="00113291" w:rsidP="006D1A5F">
      <w:pPr>
        <w:spacing w:line="480" w:lineRule="auto"/>
        <w:ind w:left="720"/>
        <w:rPr>
          <w:sz w:val="22"/>
        </w:rPr>
      </w:pPr>
      <w:r w:rsidRPr="00113291">
        <w:rPr>
          <w:sz w:val="22"/>
        </w:rPr>
        <w:lastRenderedPageBreak/>
        <w:t>Taking all these results together, one implication stands out above all: That schools bring little influence to bear on a child’s achievement that is independent of his background and general social context; and that this very lack of an independent effect means that the inequalities imposed on children by their home, neighborhood, and peer environment are carried along to become the inequalities with which they confront adult life at the end of school.</w:t>
      </w:r>
    </w:p>
    <w:p w14:paraId="3DF85A54" w14:textId="14E24131" w:rsidR="00310E92" w:rsidRPr="006D1A5F" w:rsidRDefault="006D1A5F" w:rsidP="00EC43E8">
      <w:pPr>
        <w:spacing w:line="480" w:lineRule="auto"/>
        <w:ind w:firstLine="720"/>
        <w:rPr>
          <w:sz w:val="22"/>
        </w:rPr>
      </w:pPr>
      <w:r>
        <w:t xml:space="preserve">But does the Coleman Report’s conclusion hold true today? </w:t>
      </w:r>
      <w:r w:rsidR="00310E92">
        <w:t>A</w:t>
      </w:r>
      <w:r>
        <w:t xml:space="preserve"> recent</w:t>
      </w:r>
      <w:r w:rsidR="00310E92">
        <w:t xml:space="preserve"> examination of data from 1992 to 2015 confirmed that increased spending has no effect on achievement (Hanushek, 2016).</w:t>
      </w:r>
      <w:r w:rsidR="00907DFD">
        <w:t xml:space="preserve"> Incidentally, the one erroneous finding in the Coleman Report, that the backgrounds of other students at the school were related to a student’s achievement</w:t>
      </w:r>
      <w:r w:rsidR="00EC43E8">
        <w:t>,</w:t>
      </w:r>
      <w:r w:rsidR="00907DFD">
        <w:t xml:space="preserve"> ultimately led to forced desegregation and busing</w:t>
      </w:r>
      <w:r w:rsidR="00EC43E8">
        <w:t xml:space="preserve">. </w:t>
      </w:r>
      <w:r w:rsidR="00986AAE">
        <w:t>Enter scapegoat number two</w:t>
      </w:r>
      <w:r w:rsidR="00BD0688">
        <w:t xml:space="preserve"> – segregation. </w:t>
      </w:r>
      <w:r w:rsidR="00F27CE2">
        <w:t>The federal orders to d</w:t>
      </w:r>
      <w:r w:rsidR="00E54D8C">
        <w:t>esegregat</w:t>
      </w:r>
      <w:r w:rsidR="00F27CE2">
        <w:t>e</w:t>
      </w:r>
      <w:r w:rsidR="00EC43E8">
        <w:t xml:space="preserve"> cost millions, were very controversial, and </w:t>
      </w:r>
      <w:r w:rsidR="00E54D8C">
        <w:t>still</w:t>
      </w:r>
      <w:r w:rsidR="00907DFD">
        <w:t xml:space="preserve"> did not result in increased African American student achievement.</w:t>
      </w:r>
    </w:p>
    <w:p w14:paraId="7870C96D" w14:textId="30DE76B3" w:rsidR="00D3263F" w:rsidRDefault="00EE1EFC" w:rsidP="002B0A3C">
      <w:pPr>
        <w:spacing w:line="480" w:lineRule="auto"/>
        <w:ind w:firstLine="720"/>
      </w:pPr>
      <w:r>
        <w:t xml:space="preserve">Despite numerous attempts to dismiss </w:t>
      </w:r>
      <w:r w:rsidR="00EC43E8">
        <w:t>the</w:t>
      </w:r>
      <w:r w:rsidR="005A31B0">
        <w:t xml:space="preserve"> </w:t>
      </w:r>
      <w:r w:rsidR="0097574B">
        <w:t>report</w:t>
      </w:r>
      <w:r w:rsidR="00471492">
        <w:t>s</w:t>
      </w:r>
      <w:r w:rsidR="0097574B">
        <w:t xml:space="preserve"> by Moynihan and </w:t>
      </w:r>
      <w:r w:rsidR="005A31B0">
        <w:t>Coleman</w:t>
      </w:r>
      <w:r w:rsidR="00EC43E8">
        <w:t>, their conclusions concerning failure to improve the conditions of URM</w:t>
      </w:r>
      <w:r w:rsidR="005A31B0">
        <w:t xml:space="preserve"> w</w:t>
      </w:r>
      <w:r w:rsidR="0097574B">
        <w:t>ere</w:t>
      </w:r>
      <w:r w:rsidR="005A31B0">
        <w:t xml:space="preserve">, unfortunately, prophetic. </w:t>
      </w:r>
      <w:r w:rsidR="00224088">
        <w:t>In 1965, the black-white achievement gap was roughly a standard deviation. Today, it remains about a standard deviation</w:t>
      </w:r>
      <w:r w:rsidR="00310E92">
        <w:t xml:space="preserve"> (Hanushek, 2016)</w:t>
      </w:r>
      <w:r w:rsidR="00224088">
        <w:t xml:space="preserve">. </w:t>
      </w:r>
      <w:r w:rsidR="00907DFD">
        <w:rPr>
          <w:color w:val="000000" w:themeColor="text1"/>
        </w:rPr>
        <w:t xml:space="preserve">Despite the counter evidence, </w:t>
      </w:r>
      <w:r w:rsidR="00907DFD" w:rsidRPr="00D07816">
        <w:rPr>
          <w:color w:val="000000" w:themeColor="text1"/>
        </w:rPr>
        <w:t>federally ordered school reform</w:t>
      </w:r>
      <w:r w:rsidR="00907DFD">
        <w:rPr>
          <w:color w:val="000000" w:themeColor="text1"/>
        </w:rPr>
        <w:t xml:space="preserve"> efforts to improve the achievement of impoverished children, many of whom are URM, have continued for 56 years. </w:t>
      </w:r>
      <w:r w:rsidR="00513F97">
        <w:t xml:space="preserve">How many dollars </w:t>
      </w:r>
      <w:r w:rsidR="00907DFD">
        <w:t xml:space="preserve">have been </w:t>
      </w:r>
      <w:r w:rsidR="00513F97">
        <w:t xml:space="preserve">spent on </w:t>
      </w:r>
      <w:r w:rsidR="00A96C80">
        <w:t xml:space="preserve">these </w:t>
      </w:r>
      <w:r w:rsidR="00907DFD">
        <w:t>reform</w:t>
      </w:r>
      <w:r w:rsidR="00513F97">
        <w:t xml:space="preserve"> efforts? </w:t>
      </w:r>
      <w:r w:rsidR="001B2861">
        <w:t>Wait before you begin the calculations. Sadly, there is more. Much more.</w:t>
      </w:r>
    </w:p>
    <w:p w14:paraId="2BE1C645" w14:textId="1FDC0E2F" w:rsidR="00095337" w:rsidRPr="00907DFD" w:rsidRDefault="00095337" w:rsidP="00907DFD">
      <w:pPr>
        <w:spacing w:line="480" w:lineRule="auto"/>
        <w:ind w:left="720"/>
        <w:rPr>
          <w:sz w:val="22"/>
        </w:rPr>
      </w:pPr>
      <w:r>
        <w:rPr>
          <w:sz w:val="22"/>
        </w:rPr>
        <w:t>One of the saddest lessons of history is this: If we’ve been bamboozled long enough, we ten</w:t>
      </w:r>
      <w:r w:rsidR="00EC43E8">
        <w:rPr>
          <w:sz w:val="22"/>
        </w:rPr>
        <w:t>d</w:t>
      </w:r>
      <w:r>
        <w:rPr>
          <w:sz w:val="22"/>
        </w:rPr>
        <w:t xml:space="preserve"> to reject any evidence of the bamboozle. We’re no longer interested in finding out the truth. The bamboozle has captured us. It’s simply too painful to acknowledge, even to ourselves, that we’ve been taken. Once you give a charlatan power over you, you almost never get it back</w:t>
      </w:r>
      <w:r w:rsidR="00907DFD">
        <w:rPr>
          <w:sz w:val="22"/>
        </w:rPr>
        <w:t xml:space="preserve"> (</w:t>
      </w:r>
      <w:r>
        <w:rPr>
          <w:sz w:val="22"/>
        </w:rPr>
        <w:t>Sagan</w:t>
      </w:r>
      <w:r w:rsidR="00907DFD">
        <w:rPr>
          <w:sz w:val="22"/>
        </w:rPr>
        <w:t xml:space="preserve">, </w:t>
      </w:r>
      <w:r w:rsidR="00D30C91">
        <w:rPr>
          <w:sz w:val="22"/>
        </w:rPr>
        <w:t>1997)</w:t>
      </w:r>
      <w:r w:rsidR="00907DFD">
        <w:rPr>
          <w:sz w:val="22"/>
        </w:rPr>
        <w:t>.</w:t>
      </w:r>
    </w:p>
    <w:p w14:paraId="3CA22A30" w14:textId="12765849" w:rsidR="000004DE" w:rsidRPr="000004DE" w:rsidRDefault="000004DE" w:rsidP="000004DE">
      <w:pPr>
        <w:spacing w:line="480" w:lineRule="auto"/>
        <w:rPr>
          <w:b/>
          <w:bCs/>
          <w:color w:val="000000" w:themeColor="text1"/>
        </w:rPr>
      </w:pPr>
      <w:r w:rsidRPr="000004DE">
        <w:rPr>
          <w:b/>
          <w:bCs/>
          <w:color w:val="000000" w:themeColor="text1"/>
        </w:rPr>
        <w:lastRenderedPageBreak/>
        <w:t>A Nation at Risk - 1983</w:t>
      </w:r>
    </w:p>
    <w:p w14:paraId="16230977" w14:textId="5B2FE977" w:rsidR="0033031B" w:rsidRDefault="000004DE" w:rsidP="002B0A3C">
      <w:pPr>
        <w:spacing w:line="480" w:lineRule="auto"/>
        <w:ind w:firstLine="720"/>
        <w:rPr>
          <w:color w:val="000000" w:themeColor="text1"/>
        </w:rPr>
      </w:pPr>
      <w:r>
        <w:rPr>
          <w:color w:val="000000" w:themeColor="text1"/>
        </w:rPr>
        <w:t xml:space="preserve">In 1983, the National Commission on Excellence in Education published </w:t>
      </w:r>
      <w:r w:rsidR="005D3232">
        <w:rPr>
          <w:color w:val="000000" w:themeColor="text1"/>
        </w:rPr>
        <w:t>its</w:t>
      </w:r>
      <w:r>
        <w:rPr>
          <w:color w:val="000000" w:themeColor="text1"/>
        </w:rPr>
        <w:t xml:space="preserve"> report – </w:t>
      </w:r>
      <w:r w:rsidRPr="0033031B">
        <w:rPr>
          <w:i/>
          <w:iCs/>
          <w:color w:val="000000" w:themeColor="text1"/>
        </w:rPr>
        <w:t>A Nation at Risk: The Imperative for Educational Reform</w:t>
      </w:r>
      <w:r w:rsidR="0033031B">
        <w:rPr>
          <w:color w:val="000000" w:themeColor="text1"/>
        </w:rPr>
        <w:t xml:space="preserve"> which </w:t>
      </w:r>
      <w:r w:rsidR="001B2861">
        <w:rPr>
          <w:color w:val="000000" w:themeColor="text1"/>
        </w:rPr>
        <w:t xml:space="preserve">continued the </w:t>
      </w:r>
      <w:r w:rsidR="0033031B">
        <w:rPr>
          <w:color w:val="000000" w:themeColor="text1"/>
        </w:rPr>
        <w:t xml:space="preserve">nonsensical pursuit of educational reform. </w:t>
      </w:r>
      <w:r w:rsidR="00182CFF">
        <w:rPr>
          <w:color w:val="000000" w:themeColor="text1"/>
        </w:rPr>
        <w:t xml:space="preserve">The report concluded that our educational system was broken. </w:t>
      </w:r>
      <w:r w:rsidR="00EC43E8">
        <w:rPr>
          <w:color w:val="000000" w:themeColor="text1"/>
        </w:rPr>
        <w:t>Rather than simply recommending more spending, t</w:t>
      </w:r>
      <w:r w:rsidR="0033031B">
        <w:rPr>
          <w:color w:val="000000" w:themeColor="text1"/>
        </w:rPr>
        <w:t>he Commission evaluat</w:t>
      </w:r>
      <w:r w:rsidR="00EC43E8">
        <w:rPr>
          <w:color w:val="000000" w:themeColor="text1"/>
        </w:rPr>
        <w:t>ed</w:t>
      </w:r>
      <w:r w:rsidR="0033031B">
        <w:rPr>
          <w:color w:val="000000" w:themeColor="text1"/>
        </w:rPr>
        <w:t xml:space="preserve"> the quality of teaching </w:t>
      </w:r>
      <w:r w:rsidR="001B2861">
        <w:rPr>
          <w:color w:val="000000" w:themeColor="text1"/>
        </w:rPr>
        <w:t>in</w:t>
      </w:r>
      <w:r w:rsidR="0033031B">
        <w:rPr>
          <w:color w:val="000000" w:themeColor="text1"/>
        </w:rPr>
        <w:t xml:space="preserve"> American public education and recommended performance-based salaries</w:t>
      </w:r>
      <w:r w:rsidR="00EC43E8">
        <w:rPr>
          <w:color w:val="000000" w:themeColor="text1"/>
        </w:rPr>
        <w:t xml:space="preserve"> to improve</w:t>
      </w:r>
      <w:r w:rsidR="001E7BFB">
        <w:rPr>
          <w:color w:val="000000" w:themeColor="text1"/>
        </w:rPr>
        <w:t xml:space="preserve"> teaching</w:t>
      </w:r>
      <w:r w:rsidR="0033031B">
        <w:rPr>
          <w:color w:val="000000" w:themeColor="text1"/>
        </w:rPr>
        <w:t xml:space="preserve">. </w:t>
      </w:r>
      <w:r w:rsidR="001B2861">
        <w:rPr>
          <w:color w:val="000000" w:themeColor="text1"/>
        </w:rPr>
        <w:t>The rationale was that</w:t>
      </w:r>
      <w:r w:rsidR="0033031B">
        <w:rPr>
          <w:color w:val="000000" w:themeColor="text1"/>
        </w:rPr>
        <w:t xml:space="preserve"> subpar </w:t>
      </w:r>
      <w:r w:rsidR="00BB1B42">
        <w:rPr>
          <w:color w:val="000000" w:themeColor="text1"/>
        </w:rPr>
        <w:t xml:space="preserve">student </w:t>
      </w:r>
      <w:r w:rsidR="0033031B">
        <w:rPr>
          <w:color w:val="000000" w:themeColor="text1"/>
        </w:rPr>
        <w:t xml:space="preserve">test scores </w:t>
      </w:r>
      <w:r w:rsidR="001B2861">
        <w:rPr>
          <w:color w:val="000000" w:themeColor="text1"/>
        </w:rPr>
        <w:t>could be raised</w:t>
      </w:r>
      <w:r w:rsidR="0033031B">
        <w:rPr>
          <w:color w:val="000000" w:themeColor="text1"/>
        </w:rPr>
        <w:t xml:space="preserve"> simply by </w:t>
      </w:r>
      <w:r w:rsidR="001B2861">
        <w:rPr>
          <w:color w:val="000000" w:themeColor="text1"/>
        </w:rPr>
        <w:t xml:space="preserve">motivating some lazy </w:t>
      </w:r>
      <w:r w:rsidR="0033031B">
        <w:rPr>
          <w:color w:val="000000" w:themeColor="text1"/>
        </w:rPr>
        <w:t>teachers</w:t>
      </w:r>
      <w:r w:rsidR="001B2861">
        <w:rPr>
          <w:color w:val="000000" w:themeColor="text1"/>
        </w:rPr>
        <w:t xml:space="preserve"> or replacing them with motivated ones</w:t>
      </w:r>
      <w:r w:rsidR="0033031B">
        <w:rPr>
          <w:color w:val="000000" w:themeColor="text1"/>
        </w:rPr>
        <w:t>.</w:t>
      </w:r>
      <w:r w:rsidR="003D3013">
        <w:rPr>
          <w:color w:val="000000" w:themeColor="text1"/>
        </w:rPr>
        <w:t xml:space="preserve"> </w:t>
      </w:r>
      <w:r w:rsidR="000D7785">
        <w:rPr>
          <w:color w:val="000000" w:themeColor="text1"/>
        </w:rPr>
        <w:t>Certainly, s</w:t>
      </w:r>
      <w:r w:rsidR="003D3013">
        <w:rPr>
          <w:color w:val="000000" w:themeColor="text1"/>
        </w:rPr>
        <w:t xml:space="preserve">omething or someone </w:t>
      </w:r>
      <w:r w:rsidR="000D7785">
        <w:rPr>
          <w:color w:val="000000" w:themeColor="text1"/>
        </w:rPr>
        <w:t>could</w:t>
      </w:r>
      <w:r w:rsidR="003D3013">
        <w:rPr>
          <w:color w:val="000000" w:themeColor="text1"/>
        </w:rPr>
        <w:t xml:space="preserve"> be blamed for </w:t>
      </w:r>
      <w:r w:rsidR="00516593">
        <w:rPr>
          <w:color w:val="000000" w:themeColor="text1"/>
        </w:rPr>
        <w:t>low student achievement.</w:t>
      </w:r>
      <w:r w:rsidR="000D7785">
        <w:rPr>
          <w:color w:val="000000" w:themeColor="text1"/>
        </w:rPr>
        <w:t xml:space="preserve"> </w:t>
      </w:r>
      <w:r w:rsidR="00BD0688">
        <w:rPr>
          <w:color w:val="000000" w:themeColor="text1"/>
        </w:rPr>
        <w:t>Enter</w:t>
      </w:r>
      <w:r w:rsidR="00EC429B">
        <w:rPr>
          <w:color w:val="000000" w:themeColor="text1"/>
        </w:rPr>
        <w:t xml:space="preserve"> </w:t>
      </w:r>
      <w:r w:rsidR="000D7785">
        <w:rPr>
          <w:color w:val="000000" w:themeColor="text1"/>
        </w:rPr>
        <w:t xml:space="preserve">scapegoat </w:t>
      </w:r>
      <w:r w:rsidR="00BD0688">
        <w:rPr>
          <w:color w:val="000000" w:themeColor="text1"/>
        </w:rPr>
        <w:t>number three -</w:t>
      </w:r>
      <w:r w:rsidR="001E7BFB">
        <w:rPr>
          <w:color w:val="000000" w:themeColor="text1"/>
        </w:rPr>
        <w:t xml:space="preserve"> the teacher.</w:t>
      </w:r>
      <w:r w:rsidR="001E02AF">
        <w:rPr>
          <w:color w:val="000000" w:themeColor="text1"/>
        </w:rPr>
        <w:t xml:space="preserve"> If increased spending and desegregation could not fix education, then getting rid of bad teachers was the solution.</w:t>
      </w:r>
    </w:p>
    <w:p w14:paraId="5BF4F584" w14:textId="6DE9DE1E" w:rsidR="00862FC4" w:rsidRPr="00862FC4" w:rsidRDefault="00862FC4" w:rsidP="00862FC4">
      <w:pPr>
        <w:spacing w:line="480" w:lineRule="auto"/>
        <w:rPr>
          <w:b/>
          <w:bCs/>
          <w:color w:val="000000" w:themeColor="text1"/>
        </w:rPr>
      </w:pPr>
      <w:r>
        <w:rPr>
          <w:b/>
          <w:bCs/>
          <w:color w:val="000000" w:themeColor="text1"/>
        </w:rPr>
        <w:t>An Inconvenient Truth</w:t>
      </w:r>
    </w:p>
    <w:p w14:paraId="3DAE779D" w14:textId="77777777" w:rsidR="00486CB3" w:rsidRDefault="00EC429B" w:rsidP="002B0A3C">
      <w:pPr>
        <w:spacing w:line="480" w:lineRule="auto"/>
        <w:ind w:firstLine="720"/>
        <w:rPr>
          <w:color w:val="000000" w:themeColor="text1"/>
        </w:rPr>
      </w:pPr>
      <w:r>
        <w:rPr>
          <w:color w:val="000000" w:themeColor="text1"/>
        </w:rPr>
        <w:t>An</w:t>
      </w:r>
      <w:r w:rsidR="005A31B0">
        <w:rPr>
          <w:color w:val="000000" w:themeColor="text1"/>
        </w:rPr>
        <w:t xml:space="preserve"> </w:t>
      </w:r>
      <w:r w:rsidR="00E26030">
        <w:rPr>
          <w:color w:val="000000" w:themeColor="text1"/>
        </w:rPr>
        <w:t xml:space="preserve">enormously </w:t>
      </w:r>
      <w:r w:rsidR="000C1EFE">
        <w:rPr>
          <w:color w:val="000000" w:themeColor="text1"/>
        </w:rPr>
        <w:t xml:space="preserve">erroneous </w:t>
      </w:r>
      <w:r w:rsidR="00EF33EB">
        <w:rPr>
          <w:color w:val="000000" w:themeColor="text1"/>
        </w:rPr>
        <w:t>assumpt</w:t>
      </w:r>
      <w:r w:rsidR="000C1EFE">
        <w:rPr>
          <w:color w:val="000000" w:themeColor="text1"/>
        </w:rPr>
        <w:t xml:space="preserve">ion has been used to support the continuation of </w:t>
      </w:r>
      <w:r w:rsidR="00E26030">
        <w:rPr>
          <w:color w:val="000000" w:themeColor="text1"/>
        </w:rPr>
        <w:t>educational</w:t>
      </w:r>
      <w:r w:rsidR="005A31B0">
        <w:rPr>
          <w:color w:val="000000" w:themeColor="text1"/>
        </w:rPr>
        <w:t xml:space="preserve"> </w:t>
      </w:r>
      <w:r w:rsidR="000C1EFE">
        <w:rPr>
          <w:color w:val="000000" w:themeColor="text1"/>
        </w:rPr>
        <w:t>reform efforts</w:t>
      </w:r>
      <w:r>
        <w:rPr>
          <w:color w:val="000000" w:themeColor="text1"/>
        </w:rPr>
        <w:t xml:space="preserve"> - s</w:t>
      </w:r>
      <w:r w:rsidR="000C1EFE" w:rsidRPr="00D07816">
        <w:rPr>
          <w:color w:val="000000" w:themeColor="text1"/>
        </w:rPr>
        <w:t xml:space="preserve">tudent academic success </w:t>
      </w:r>
      <w:r w:rsidR="000C1EFE">
        <w:rPr>
          <w:color w:val="000000" w:themeColor="text1"/>
        </w:rPr>
        <w:t>is</w:t>
      </w:r>
      <w:r w:rsidR="000C1EFE" w:rsidRPr="00D07816">
        <w:rPr>
          <w:color w:val="000000" w:themeColor="text1"/>
        </w:rPr>
        <w:t xml:space="preserve"> </w:t>
      </w:r>
      <w:r w:rsidR="00182CFF">
        <w:rPr>
          <w:color w:val="000000" w:themeColor="text1"/>
        </w:rPr>
        <w:t xml:space="preserve">mostly </w:t>
      </w:r>
      <w:r w:rsidR="000C1EFE">
        <w:rPr>
          <w:color w:val="000000" w:themeColor="text1"/>
        </w:rPr>
        <w:t>“</w:t>
      </w:r>
      <w:r w:rsidR="000C1EFE" w:rsidRPr="00D07816">
        <w:rPr>
          <w:color w:val="000000" w:themeColor="text1"/>
        </w:rPr>
        <w:t>caused</w:t>
      </w:r>
      <w:r w:rsidR="000C1EFE">
        <w:rPr>
          <w:color w:val="000000" w:themeColor="text1"/>
        </w:rPr>
        <w:t>”</w:t>
      </w:r>
      <w:r w:rsidR="000C1EFE" w:rsidRPr="00D07816">
        <w:rPr>
          <w:color w:val="000000" w:themeColor="text1"/>
        </w:rPr>
        <w:t xml:space="preserve"> by </w:t>
      </w:r>
      <w:r w:rsidR="00516593">
        <w:rPr>
          <w:color w:val="000000" w:themeColor="text1"/>
        </w:rPr>
        <w:t xml:space="preserve">factors that exist inside the walls of </w:t>
      </w:r>
      <w:r w:rsidR="000D7785">
        <w:rPr>
          <w:color w:val="000000" w:themeColor="text1"/>
        </w:rPr>
        <w:t>the</w:t>
      </w:r>
      <w:r w:rsidR="00516593">
        <w:rPr>
          <w:color w:val="000000" w:themeColor="text1"/>
        </w:rPr>
        <w:t xml:space="preserve"> classroom </w:t>
      </w:r>
      <w:r w:rsidR="000D7785">
        <w:rPr>
          <w:color w:val="000000" w:themeColor="text1"/>
        </w:rPr>
        <w:t>and</w:t>
      </w:r>
      <w:r w:rsidR="00516593">
        <w:rPr>
          <w:color w:val="000000" w:themeColor="text1"/>
        </w:rPr>
        <w:t xml:space="preserve"> school building (e.g., per pupil spending, </w:t>
      </w:r>
      <w:r w:rsidR="000C1EFE" w:rsidRPr="00D07816">
        <w:rPr>
          <w:color w:val="000000" w:themeColor="text1"/>
        </w:rPr>
        <w:t>teaching</w:t>
      </w:r>
      <w:r w:rsidR="005A31B0">
        <w:rPr>
          <w:color w:val="000000" w:themeColor="text1"/>
        </w:rPr>
        <w:t xml:space="preserve"> quality</w:t>
      </w:r>
      <w:r w:rsidR="00516593">
        <w:rPr>
          <w:color w:val="000000" w:themeColor="text1"/>
        </w:rPr>
        <w:t>, administrator quality, classmates, etc.)</w:t>
      </w:r>
      <w:r w:rsidR="000C1EFE" w:rsidRPr="00D07816">
        <w:rPr>
          <w:color w:val="000000" w:themeColor="text1"/>
        </w:rPr>
        <w:t xml:space="preserve">. </w:t>
      </w:r>
      <w:r w:rsidR="00E26030">
        <w:rPr>
          <w:color w:val="000000" w:themeColor="text1"/>
        </w:rPr>
        <w:t>Thus,</w:t>
      </w:r>
      <w:r w:rsidR="0066735B">
        <w:rPr>
          <w:color w:val="000000" w:themeColor="text1"/>
        </w:rPr>
        <w:t xml:space="preserve"> </w:t>
      </w:r>
      <w:r w:rsidR="00E26030">
        <w:rPr>
          <w:color w:val="000000" w:themeColor="text1"/>
        </w:rPr>
        <w:t>s</w:t>
      </w:r>
      <w:r w:rsidR="000C1EFE" w:rsidRPr="00D07816">
        <w:rPr>
          <w:color w:val="000000" w:themeColor="text1"/>
        </w:rPr>
        <w:t>tudents who ha</w:t>
      </w:r>
      <w:r w:rsidR="000C1EFE">
        <w:rPr>
          <w:color w:val="000000" w:themeColor="text1"/>
        </w:rPr>
        <w:t>ve the good fortune of getting</w:t>
      </w:r>
      <w:r w:rsidR="000C1EFE" w:rsidRPr="00D07816">
        <w:rPr>
          <w:color w:val="000000" w:themeColor="text1"/>
        </w:rPr>
        <w:t xml:space="preserve"> “good” teachers</w:t>
      </w:r>
      <w:r w:rsidR="00516593">
        <w:rPr>
          <w:color w:val="000000" w:themeColor="text1"/>
        </w:rPr>
        <w:t>, for example,</w:t>
      </w:r>
      <w:r w:rsidR="000C1EFE" w:rsidRPr="00D07816">
        <w:rPr>
          <w:color w:val="000000" w:themeColor="text1"/>
        </w:rPr>
        <w:t xml:space="preserve"> tend strongly to succeed academically</w:t>
      </w:r>
      <w:r w:rsidR="000C1EFE">
        <w:rPr>
          <w:color w:val="000000" w:themeColor="text1"/>
        </w:rPr>
        <w:t xml:space="preserve">, whereas </w:t>
      </w:r>
      <w:r w:rsidR="000C1EFE" w:rsidRPr="00D07816">
        <w:rPr>
          <w:color w:val="000000" w:themeColor="text1"/>
        </w:rPr>
        <w:t>students who ha</w:t>
      </w:r>
      <w:r w:rsidR="000C1EFE">
        <w:rPr>
          <w:color w:val="000000" w:themeColor="text1"/>
        </w:rPr>
        <w:t>ve the misfortune of getting</w:t>
      </w:r>
      <w:r w:rsidR="000C1EFE" w:rsidRPr="00D07816">
        <w:rPr>
          <w:color w:val="000000" w:themeColor="text1"/>
        </w:rPr>
        <w:t xml:space="preserve"> “bad” teachers tend strongly to fail academically. </w:t>
      </w:r>
      <w:r w:rsidR="00862FC4">
        <w:rPr>
          <w:color w:val="000000" w:themeColor="text1"/>
        </w:rPr>
        <w:t>This assumption</w:t>
      </w:r>
      <w:r w:rsidR="00E26030">
        <w:rPr>
          <w:color w:val="000000" w:themeColor="text1"/>
        </w:rPr>
        <w:t>, quite simply,</w:t>
      </w:r>
      <w:r w:rsidR="00862FC4">
        <w:rPr>
          <w:color w:val="000000" w:themeColor="text1"/>
        </w:rPr>
        <w:t xml:space="preserve"> is false. The truth is </w:t>
      </w:r>
      <w:r w:rsidR="00E26030">
        <w:rPr>
          <w:color w:val="000000" w:themeColor="text1"/>
        </w:rPr>
        <w:t>close</w:t>
      </w:r>
      <w:r w:rsidR="00182CFF">
        <w:rPr>
          <w:color w:val="000000" w:themeColor="text1"/>
        </w:rPr>
        <w:t>r</w:t>
      </w:r>
      <w:r w:rsidR="00E26030">
        <w:rPr>
          <w:color w:val="000000" w:themeColor="text1"/>
        </w:rPr>
        <w:t xml:space="preserve"> to</w:t>
      </w:r>
      <w:r w:rsidR="00862FC4">
        <w:rPr>
          <w:color w:val="000000" w:themeColor="text1"/>
        </w:rPr>
        <w:t xml:space="preserve"> the conclusions of the Coleman Report – education has much less to do with a child’s success than </w:t>
      </w:r>
      <w:r w:rsidR="00E26030">
        <w:rPr>
          <w:color w:val="000000" w:themeColor="text1"/>
        </w:rPr>
        <w:t>other</w:t>
      </w:r>
      <w:r w:rsidR="00862FC4">
        <w:rPr>
          <w:color w:val="000000" w:themeColor="text1"/>
        </w:rPr>
        <w:t xml:space="preserve"> influences</w:t>
      </w:r>
      <w:r w:rsidR="00E26030">
        <w:rPr>
          <w:color w:val="000000" w:themeColor="text1"/>
        </w:rPr>
        <w:t xml:space="preserve"> </w:t>
      </w:r>
      <w:r w:rsidR="001E5391">
        <w:rPr>
          <w:color w:val="000000" w:themeColor="text1"/>
        </w:rPr>
        <w:t>outside of school</w:t>
      </w:r>
      <w:r w:rsidR="00862FC4">
        <w:rPr>
          <w:color w:val="000000" w:themeColor="text1"/>
        </w:rPr>
        <w:t xml:space="preserve">. </w:t>
      </w:r>
      <w:r>
        <w:rPr>
          <w:color w:val="000000" w:themeColor="text1"/>
        </w:rPr>
        <w:t>Thus, not surprisingly, e</w:t>
      </w:r>
      <w:r w:rsidR="000C1EFE">
        <w:rPr>
          <w:color w:val="000000" w:themeColor="text1"/>
        </w:rPr>
        <w:t xml:space="preserve">ducational reform efforts </w:t>
      </w:r>
      <w:r w:rsidR="00862FC4">
        <w:rPr>
          <w:color w:val="000000" w:themeColor="text1"/>
        </w:rPr>
        <w:t>that attempt to</w:t>
      </w:r>
      <w:r w:rsidR="000C1EFE">
        <w:rPr>
          <w:color w:val="000000" w:themeColor="text1"/>
        </w:rPr>
        <w:t xml:space="preserve"> </w:t>
      </w:r>
      <w:r w:rsidR="005A31B0">
        <w:rPr>
          <w:color w:val="000000" w:themeColor="text1"/>
        </w:rPr>
        <w:t>improve</w:t>
      </w:r>
      <w:r w:rsidR="000C1EFE">
        <w:rPr>
          <w:color w:val="000000" w:themeColor="text1"/>
        </w:rPr>
        <w:t xml:space="preserve"> teaching quality </w:t>
      </w:r>
      <w:r w:rsidR="00862FC4">
        <w:rPr>
          <w:color w:val="000000" w:themeColor="text1"/>
        </w:rPr>
        <w:t>to</w:t>
      </w:r>
      <w:r w:rsidR="000C1EFE">
        <w:rPr>
          <w:color w:val="000000" w:themeColor="text1"/>
        </w:rPr>
        <w:t xml:space="preserve"> allow all children to succeed academically</w:t>
      </w:r>
      <w:r w:rsidR="00862FC4">
        <w:rPr>
          <w:color w:val="000000" w:themeColor="text1"/>
        </w:rPr>
        <w:t xml:space="preserve"> have failed miserably</w:t>
      </w:r>
      <w:r w:rsidR="000C1EFE">
        <w:rPr>
          <w:color w:val="000000" w:themeColor="text1"/>
        </w:rPr>
        <w:t>.</w:t>
      </w:r>
      <w:r w:rsidR="008077BC">
        <w:rPr>
          <w:color w:val="000000" w:themeColor="text1"/>
        </w:rPr>
        <w:t xml:space="preserve"> </w:t>
      </w:r>
    </w:p>
    <w:p w14:paraId="3D3C487A" w14:textId="3C3AFAA6" w:rsidR="00632D25" w:rsidRPr="002B0A3C" w:rsidRDefault="008077BC" w:rsidP="002B0A3C">
      <w:pPr>
        <w:spacing w:line="480" w:lineRule="auto"/>
        <w:ind w:firstLine="720"/>
      </w:pPr>
      <w:r>
        <w:rPr>
          <w:color w:val="000000" w:themeColor="text1"/>
        </w:rPr>
        <w:lastRenderedPageBreak/>
        <w:t xml:space="preserve">Consider the head-scratching teacher value-added system employed by the Houston, Texas independent school district recently. Teachers, principals, and yes, even the superintendent were fired or awarded merit raises based on how much students improved on </w:t>
      </w:r>
      <w:r w:rsidR="00486CB3">
        <w:rPr>
          <w:color w:val="000000" w:themeColor="text1"/>
        </w:rPr>
        <w:t>state tests. Superintendent Terry Grier was awarded an almost $100,000 merit raise based on calculations that lack reliability and validity and are simply too stupid to describe (</w:t>
      </w:r>
      <w:proofErr w:type="spellStart"/>
      <w:r w:rsidR="00486CB3">
        <w:rPr>
          <w:color w:val="000000" w:themeColor="text1"/>
        </w:rPr>
        <w:t>Amrein</w:t>
      </w:r>
      <w:proofErr w:type="spellEnd"/>
      <w:r w:rsidR="00486CB3">
        <w:rPr>
          <w:color w:val="000000" w:themeColor="text1"/>
        </w:rPr>
        <w:t>-Beardsley et al., 2016).</w:t>
      </w:r>
    </w:p>
    <w:p w14:paraId="79D99B72" w14:textId="0FBD9A6E" w:rsidR="003C5766" w:rsidRPr="00354AC6" w:rsidRDefault="007F3415" w:rsidP="008E05B4">
      <w:pPr>
        <w:spacing w:line="480" w:lineRule="auto"/>
        <w:ind w:firstLine="720"/>
        <w:rPr>
          <w:color w:val="000000" w:themeColor="text1"/>
        </w:rPr>
      </w:pPr>
      <w:r>
        <w:rPr>
          <w:color w:val="000000" w:themeColor="text1"/>
        </w:rPr>
        <w:t>The repeated failure to reduce achievement gaps</w:t>
      </w:r>
      <w:r w:rsidR="00632D25" w:rsidRPr="00354AC6">
        <w:rPr>
          <w:color w:val="000000" w:themeColor="text1"/>
        </w:rPr>
        <w:t xml:space="preserve"> has been consistently ignored by politicians, government regulators, faculty of </w:t>
      </w:r>
      <w:r w:rsidR="00EC429B">
        <w:rPr>
          <w:color w:val="000000" w:themeColor="text1"/>
        </w:rPr>
        <w:t>university</w:t>
      </w:r>
      <w:r w:rsidR="00632D25" w:rsidRPr="00354AC6">
        <w:rPr>
          <w:color w:val="000000" w:themeColor="text1"/>
        </w:rPr>
        <w:t xml:space="preserve"> teacher training programs, school administrators and teachers. </w:t>
      </w:r>
      <w:r w:rsidR="00F95C0C">
        <w:rPr>
          <w:color w:val="000000" w:themeColor="text1"/>
        </w:rPr>
        <w:t xml:space="preserve">All are guilty of failing to acknowledge that the emperor is indeed </w:t>
      </w:r>
      <w:r w:rsidR="00EC429B">
        <w:rPr>
          <w:color w:val="000000" w:themeColor="text1"/>
        </w:rPr>
        <w:t xml:space="preserve">marching </w:t>
      </w:r>
      <w:r w:rsidR="00F95C0C">
        <w:rPr>
          <w:color w:val="000000" w:themeColor="text1"/>
        </w:rPr>
        <w:t xml:space="preserve">naked. </w:t>
      </w:r>
      <w:r w:rsidR="00253EE2">
        <w:rPr>
          <w:color w:val="000000" w:themeColor="text1"/>
        </w:rPr>
        <w:t xml:space="preserve">The </w:t>
      </w:r>
      <w:r w:rsidR="00052B62">
        <w:rPr>
          <w:color w:val="000000" w:themeColor="text1"/>
        </w:rPr>
        <w:t xml:space="preserve">strong </w:t>
      </w:r>
      <w:r w:rsidR="00253EE2">
        <w:t>correlation between poverty and student achievement is well known and rather consistent (</w:t>
      </w:r>
      <w:proofErr w:type="spellStart"/>
      <w:r w:rsidR="00253EE2">
        <w:t>Lacour</w:t>
      </w:r>
      <w:proofErr w:type="spellEnd"/>
      <w:r w:rsidR="00253EE2">
        <w:t xml:space="preserve"> &amp; </w:t>
      </w:r>
      <w:proofErr w:type="spellStart"/>
      <w:r w:rsidR="00253EE2">
        <w:t>Tissington</w:t>
      </w:r>
      <w:proofErr w:type="spellEnd"/>
      <w:r w:rsidR="00253EE2">
        <w:t>, 2011).</w:t>
      </w:r>
      <w:r w:rsidR="00A13D2D">
        <w:rPr>
          <w:color w:val="000000" w:themeColor="text1"/>
        </w:rPr>
        <w:t xml:space="preserve"> </w:t>
      </w:r>
      <w:r w:rsidR="003C5766" w:rsidRPr="00354AC6">
        <w:rPr>
          <w:color w:val="000000" w:themeColor="text1"/>
        </w:rPr>
        <w:t>The average academic performance of randomly grouped K-12 students is inversely proportional to the level of financial poverty of th</w:t>
      </w:r>
      <w:r w:rsidR="00EC429B">
        <w:rPr>
          <w:color w:val="000000" w:themeColor="text1"/>
        </w:rPr>
        <w:t>ose</w:t>
      </w:r>
      <w:r w:rsidR="003C5766" w:rsidRPr="00354AC6">
        <w:rPr>
          <w:color w:val="000000" w:themeColor="text1"/>
        </w:rPr>
        <w:t xml:space="preserve"> students. </w:t>
      </w:r>
      <w:r w:rsidR="00BA6CD2">
        <w:rPr>
          <w:color w:val="000000" w:themeColor="text1"/>
        </w:rPr>
        <w:t>Bad t</w:t>
      </w:r>
      <w:r w:rsidR="003C5766" w:rsidRPr="00354AC6">
        <w:rPr>
          <w:color w:val="000000" w:themeColor="text1"/>
        </w:rPr>
        <w:t xml:space="preserve">eachers are </w:t>
      </w:r>
      <w:r w:rsidR="00A13D2D">
        <w:rPr>
          <w:color w:val="000000" w:themeColor="text1"/>
        </w:rPr>
        <w:t>not</w:t>
      </w:r>
      <w:r w:rsidR="00354AC6" w:rsidRPr="00354AC6">
        <w:rPr>
          <w:color w:val="000000" w:themeColor="text1"/>
        </w:rPr>
        <w:t xml:space="preserve"> </w:t>
      </w:r>
      <w:r w:rsidR="003C5766" w:rsidRPr="00354AC6">
        <w:rPr>
          <w:color w:val="000000" w:themeColor="text1"/>
        </w:rPr>
        <w:t xml:space="preserve">disproportionally assigned to teach financially impoverished students </w:t>
      </w:r>
      <w:r w:rsidR="00354AC6" w:rsidRPr="00354AC6">
        <w:rPr>
          <w:color w:val="000000" w:themeColor="text1"/>
        </w:rPr>
        <w:t>nor are</w:t>
      </w:r>
      <w:r w:rsidR="003C5766" w:rsidRPr="00354AC6">
        <w:rPr>
          <w:color w:val="000000" w:themeColor="text1"/>
        </w:rPr>
        <w:t xml:space="preserve"> </w:t>
      </w:r>
      <w:r w:rsidR="00BA6CD2">
        <w:rPr>
          <w:color w:val="000000" w:themeColor="text1"/>
        </w:rPr>
        <w:t xml:space="preserve">good </w:t>
      </w:r>
      <w:r w:rsidR="003C5766" w:rsidRPr="00354AC6">
        <w:rPr>
          <w:color w:val="000000" w:themeColor="text1"/>
        </w:rPr>
        <w:t>teachers disproportionally assigned to teach non-impoverished students</w:t>
      </w:r>
      <w:r w:rsidR="008F46F9">
        <w:rPr>
          <w:color w:val="000000" w:themeColor="text1"/>
        </w:rPr>
        <w:t>.</w:t>
      </w:r>
    </w:p>
    <w:p w14:paraId="38676966" w14:textId="172A8DCD" w:rsidR="000004DE" w:rsidRPr="000004DE" w:rsidRDefault="000004DE" w:rsidP="000004DE">
      <w:pPr>
        <w:spacing w:line="480" w:lineRule="auto"/>
        <w:rPr>
          <w:b/>
          <w:bCs/>
        </w:rPr>
      </w:pPr>
      <w:r>
        <w:rPr>
          <w:b/>
          <w:bCs/>
        </w:rPr>
        <w:t>No Child Left Behind</w:t>
      </w:r>
    </w:p>
    <w:p w14:paraId="6440571B" w14:textId="4092659A" w:rsidR="003D2B2A" w:rsidRDefault="00F82CB7" w:rsidP="00D164D7">
      <w:pPr>
        <w:spacing w:line="480" w:lineRule="auto"/>
        <w:ind w:firstLine="720"/>
      </w:pPr>
      <w:r>
        <w:t>As previously mentioned</w:t>
      </w:r>
      <w:r w:rsidR="00CD5E8A">
        <w:t xml:space="preserve">, iterations of ESEA have </w:t>
      </w:r>
      <w:r>
        <w:t xml:space="preserve">continued </w:t>
      </w:r>
      <w:r w:rsidR="00CD5E8A">
        <w:t xml:space="preserve">with </w:t>
      </w:r>
      <w:r w:rsidR="00EF33EB">
        <w:t>lofty</w:t>
      </w:r>
      <w:r w:rsidR="00CD5E8A">
        <w:t xml:space="preserve"> goals </w:t>
      </w:r>
      <w:r w:rsidR="00EF33EB">
        <w:t xml:space="preserve">and </w:t>
      </w:r>
      <w:r w:rsidR="00CD5E8A">
        <w:t xml:space="preserve">equally disappointing results. </w:t>
      </w:r>
      <w:r w:rsidR="00542BB4">
        <w:t xml:space="preserve">The efforts to improve teaching ability </w:t>
      </w:r>
      <w:r w:rsidR="00986AAE">
        <w:t>by</w:t>
      </w:r>
      <w:r w:rsidR="00542BB4">
        <w:t xml:space="preserve"> get</w:t>
      </w:r>
      <w:r w:rsidR="00986AAE">
        <w:t>ting</w:t>
      </w:r>
      <w:r w:rsidR="00542BB4">
        <w:t xml:space="preserve"> rid of bad teachers spurred by the </w:t>
      </w:r>
      <w:r w:rsidR="00542BB4" w:rsidRPr="00986AAE">
        <w:rPr>
          <w:i/>
          <w:iCs/>
        </w:rPr>
        <w:t>Nation at Risk</w:t>
      </w:r>
      <w:r w:rsidR="00542BB4">
        <w:t xml:space="preserve"> report did not result in reduction of achievement gaps. Undaunted, i</w:t>
      </w:r>
      <w:r w:rsidR="003578BD">
        <w:t>n 2001</w:t>
      </w:r>
      <w:r w:rsidR="003D2B2A">
        <w:t>, President George W</w:t>
      </w:r>
      <w:r w:rsidR="00CD5E8A">
        <w:t>.</w:t>
      </w:r>
      <w:r w:rsidR="003D2B2A">
        <w:t xml:space="preserve"> Bush signed the </w:t>
      </w:r>
      <w:r w:rsidR="003D2B2A" w:rsidRPr="00342EBA">
        <w:rPr>
          <w:i/>
          <w:iCs/>
        </w:rPr>
        <w:t>No Child Left Behind Act</w:t>
      </w:r>
      <w:r w:rsidR="000F58B7">
        <w:t xml:space="preserve"> (NCLB)</w:t>
      </w:r>
      <w:r w:rsidR="003D2B2A">
        <w:t xml:space="preserve"> as a reauthorization of ESEA. This law required statewide testing in public schools (if they were to continue to receive federal funds for education) and demanded that test performance improve, or teachers </w:t>
      </w:r>
      <w:r w:rsidR="003D2B2A" w:rsidRPr="00986AAE">
        <w:rPr>
          <w:i/>
          <w:iCs/>
        </w:rPr>
        <w:t>and principals</w:t>
      </w:r>
      <w:r w:rsidR="003D2B2A">
        <w:t xml:space="preserve"> would be removed from the school.</w:t>
      </w:r>
      <w:r w:rsidR="008E05B4">
        <w:t xml:space="preserve"> </w:t>
      </w:r>
      <w:r w:rsidR="00FB52B7">
        <w:t>Bush was influenced by the “success” of Houston</w:t>
      </w:r>
      <w:r w:rsidR="00986AAE">
        <w:t>, Texas</w:t>
      </w:r>
      <w:r w:rsidR="00FB52B7">
        <w:t xml:space="preserve"> schools under Superintendent Rod Paige. By holding principals </w:t>
      </w:r>
      <w:r w:rsidR="00FB52B7">
        <w:lastRenderedPageBreak/>
        <w:t xml:space="preserve">accountable, the schools had improved dramatically. </w:t>
      </w:r>
      <w:r w:rsidR="000D7785">
        <w:t xml:space="preserve">Enter scapegoat number </w:t>
      </w:r>
      <w:r w:rsidR="00BD0688">
        <w:t>four</w:t>
      </w:r>
      <w:r w:rsidR="000D7785">
        <w:t>.</w:t>
      </w:r>
      <w:r w:rsidR="008E05B4">
        <w:t xml:space="preserve"> </w:t>
      </w:r>
      <w:r w:rsidR="005476E4">
        <w:t>Principals</w:t>
      </w:r>
      <w:r w:rsidR="008E05B4">
        <w:t xml:space="preserve"> </w:t>
      </w:r>
      <w:r w:rsidR="00BD0688">
        <w:t>joined</w:t>
      </w:r>
      <w:r w:rsidR="008E05B4">
        <w:t xml:space="preserve"> teachers in terms of being accountable for poor student performance, despite evidence that principals account for </w:t>
      </w:r>
      <w:r w:rsidR="005A31B0">
        <w:t xml:space="preserve">much </w:t>
      </w:r>
      <w:r w:rsidR="008E05B4">
        <w:t xml:space="preserve">less than </w:t>
      </w:r>
      <w:r w:rsidR="000D7785">
        <w:t xml:space="preserve">paltry </w:t>
      </w:r>
      <w:r w:rsidR="008E05B4">
        <w:t>1</w:t>
      </w:r>
      <w:r w:rsidR="00735E58">
        <w:t>% to 7</w:t>
      </w:r>
      <w:r w:rsidR="008E05B4">
        <w:t xml:space="preserve">% of variance in student achievement outcomes </w:t>
      </w:r>
      <w:r w:rsidR="005A31B0">
        <w:t xml:space="preserve">attributed to teachers </w:t>
      </w:r>
      <w:r w:rsidR="008E05B4">
        <w:t>(</w:t>
      </w:r>
      <w:proofErr w:type="spellStart"/>
      <w:r w:rsidR="00735E58">
        <w:t>Detterman</w:t>
      </w:r>
      <w:proofErr w:type="spellEnd"/>
      <w:r w:rsidR="00735E58">
        <w:t xml:space="preserve">, 2016; </w:t>
      </w:r>
      <w:r w:rsidR="008E05B4">
        <w:t>Hanushek, 1997).</w:t>
      </w:r>
      <w:r w:rsidR="00357463">
        <w:t xml:space="preserve"> Unfortunately, it was later revealed that the improved student test scores and decreased dropout rates reported by Houston schools were due to falsifying records. But not before Bush chose Paige to be Secretary of Education</w:t>
      </w:r>
      <w:r w:rsidR="003A2A0B">
        <w:t xml:space="preserve"> and lead the charge for </w:t>
      </w:r>
      <w:r w:rsidR="003A2A0B" w:rsidRPr="003A2A0B">
        <w:t>NCLB</w:t>
      </w:r>
      <w:r w:rsidR="00357463">
        <w:t>.</w:t>
      </w:r>
    </w:p>
    <w:p w14:paraId="66C26D93" w14:textId="059F5F0B" w:rsidR="00A41A03" w:rsidRDefault="00F82CB7" w:rsidP="00A41A03">
      <w:pPr>
        <w:spacing w:line="480" w:lineRule="auto"/>
        <w:ind w:firstLine="720"/>
      </w:pPr>
      <w:r>
        <w:t xml:space="preserve">How have the “fire or replace principals” educational reform efforts fared? </w:t>
      </w:r>
      <w:proofErr w:type="spellStart"/>
      <w:r w:rsidR="00A41A03">
        <w:t>Heissel</w:t>
      </w:r>
      <w:proofErr w:type="spellEnd"/>
      <w:r w:rsidR="00A41A03">
        <w:t xml:space="preserve"> and Ladd (2018) </w:t>
      </w:r>
      <w:r w:rsidR="00D164D7">
        <w:t>evaluated</w:t>
      </w:r>
      <w:r w:rsidR="00A41A03">
        <w:t xml:space="preserve"> the federally</w:t>
      </w:r>
      <w:r w:rsidR="008E05B4">
        <w:t xml:space="preserve"> </w:t>
      </w:r>
      <w:r w:rsidR="00A41A03">
        <w:t xml:space="preserve">funded North Carolina school reform effort called “Turning Around the Lowest Achieving Schools” (TALAS). To be eligible to receive the </w:t>
      </w:r>
      <w:r w:rsidR="008E05B4">
        <w:t>SIG</w:t>
      </w:r>
      <w:r w:rsidR="00A41A03">
        <w:t xml:space="preserve">, states had to employ one of four models – two of which involved replacing the principal. There was no evidence that replacement of principals led to an increase in leadership quality or student test scores at the low-performing schools. </w:t>
      </w:r>
      <w:r w:rsidR="00D164D7">
        <w:t xml:space="preserve">Robinson and Bligh (2019) </w:t>
      </w:r>
      <w:r w:rsidR="00342EBA">
        <w:t>reported</w:t>
      </w:r>
      <w:r w:rsidR="00D164D7">
        <w:t xml:space="preserve"> </w:t>
      </w:r>
      <w:r w:rsidR="00E63F16">
        <w:t xml:space="preserve">other </w:t>
      </w:r>
      <w:r w:rsidR="00342EBA">
        <w:t xml:space="preserve">cases </w:t>
      </w:r>
      <w:r w:rsidR="00E63F16">
        <w:t xml:space="preserve">besides Houston </w:t>
      </w:r>
      <w:r w:rsidR="00342EBA">
        <w:t>where</w:t>
      </w:r>
      <w:r w:rsidR="00D164D7">
        <w:t xml:space="preserve"> large urban school districts in high poverty areas </w:t>
      </w:r>
      <w:r w:rsidR="00E63F16">
        <w:t>reported incredible</w:t>
      </w:r>
      <w:r w:rsidR="00D164D7">
        <w:t xml:space="preserve"> “turnaround</w:t>
      </w:r>
      <w:r w:rsidR="00E63F16">
        <w:t>s</w:t>
      </w:r>
      <w:r w:rsidR="00D164D7">
        <w:t xml:space="preserve">” </w:t>
      </w:r>
      <w:r w:rsidR="00E63F16">
        <w:t xml:space="preserve">where </w:t>
      </w:r>
      <w:r w:rsidR="00D164D7">
        <w:t xml:space="preserve">the test performance of </w:t>
      </w:r>
      <w:r w:rsidR="00E63F16">
        <w:t xml:space="preserve">poor </w:t>
      </w:r>
      <w:r w:rsidR="00D164D7">
        <w:t xml:space="preserve">students </w:t>
      </w:r>
      <w:r w:rsidR="00E63F16">
        <w:t xml:space="preserve">improved </w:t>
      </w:r>
      <w:r w:rsidR="00D164D7">
        <w:t xml:space="preserve">during the NCLB era. </w:t>
      </w:r>
      <w:r w:rsidR="00342EBA">
        <w:t>Unfortunately, f</w:t>
      </w:r>
      <w:r w:rsidR="00AE176F">
        <w:t>or each turnaround, t</w:t>
      </w:r>
      <w:r w:rsidR="00D164D7">
        <w:t xml:space="preserve">hey </w:t>
      </w:r>
      <w:r w:rsidR="00AE176F">
        <w:t xml:space="preserve">also </w:t>
      </w:r>
      <w:r w:rsidR="00D164D7">
        <w:t>found where principal accountability led to test and/or reporting fraud by the school leaders</w:t>
      </w:r>
      <w:r w:rsidR="00E63F16">
        <w:t xml:space="preserve"> </w:t>
      </w:r>
      <w:proofErr w:type="gramStart"/>
      <w:r w:rsidR="00E63F16">
        <w:t>similar to</w:t>
      </w:r>
      <w:proofErr w:type="gramEnd"/>
      <w:r w:rsidR="00E63F16">
        <w:t xml:space="preserve"> </w:t>
      </w:r>
      <w:r w:rsidR="006625D0">
        <w:t xml:space="preserve">the </w:t>
      </w:r>
      <w:r w:rsidR="00E63F16">
        <w:t>Houston</w:t>
      </w:r>
      <w:r w:rsidR="006625D0">
        <w:t xml:space="preserve"> story</w:t>
      </w:r>
      <w:r w:rsidR="00D164D7">
        <w:t xml:space="preserve">. </w:t>
      </w:r>
    </w:p>
    <w:p w14:paraId="6A4A026D" w14:textId="503D2933" w:rsidR="00E507C1" w:rsidRPr="00E507C1" w:rsidRDefault="00E507C1" w:rsidP="00E507C1">
      <w:pPr>
        <w:spacing w:line="480" w:lineRule="auto"/>
        <w:rPr>
          <w:b/>
          <w:bCs/>
        </w:rPr>
      </w:pPr>
      <w:r>
        <w:rPr>
          <w:b/>
          <w:bCs/>
        </w:rPr>
        <w:t>Every Student Succeeds</w:t>
      </w:r>
    </w:p>
    <w:p w14:paraId="64336521" w14:textId="04C7F96A" w:rsidR="00D164D7" w:rsidRDefault="00E507C1" w:rsidP="00770034">
      <w:pPr>
        <w:spacing w:line="480" w:lineRule="auto"/>
        <w:ind w:firstLine="720"/>
      </w:pPr>
      <w:r>
        <w:t>The most recent, and e</w:t>
      </w:r>
      <w:r w:rsidR="00D164D7">
        <w:t xml:space="preserve">qually insidious, </w:t>
      </w:r>
      <w:r>
        <w:t>reauthorization of ESEA</w:t>
      </w:r>
      <w:r w:rsidR="00B27AB9">
        <w:t>,</w:t>
      </w:r>
      <w:r>
        <w:t xml:space="preserve"> </w:t>
      </w:r>
      <w:proofErr w:type="gramStart"/>
      <w:r w:rsidR="00D164D7">
        <w:t xml:space="preserve">the </w:t>
      </w:r>
      <w:r w:rsidR="00D164D7" w:rsidRPr="00342EBA">
        <w:rPr>
          <w:i/>
          <w:iCs/>
        </w:rPr>
        <w:t>Every</w:t>
      </w:r>
      <w:proofErr w:type="gramEnd"/>
      <w:r w:rsidR="00D164D7" w:rsidRPr="00342EBA">
        <w:rPr>
          <w:i/>
          <w:iCs/>
        </w:rPr>
        <w:t xml:space="preserve"> Student Succeeds Act</w:t>
      </w:r>
      <w:r w:rsidR="00D164D7">
        <w:t xml:space="preserve"> (ESSA)</w:t>
      </w:r>
      <w:r w:rsidR="00A96C80">
        <w:t>,</w:t>
      </w:r>
      <w:r w:rsidR="00D164D7">
        <w:t xml:space="preserve"> </w:t>
      </w:r>
      <w:r w:rsidR="00B27AB9">
        <w:t xml:space="preserve">was signed in 2015 by President Barack Obama </w:t>
      </w:r>
      <w:r w:rsidR="00F82CB7">
        <w:t xml:space="preserve">and </w:t>
      </w:r>
      <w:r w:rsidR="00D164D7">
        <w:t>moved much of the enforcement of the demand for improved academic performance in public schools back to the states, with federal oversight</w:t>
      </w:r>
      <w:r w:rsidR="00F82CB7">
        <w:t xml:space="preserve">. ESSA also </w:t>
      </w:r>
      <w:r w:rsidR="00D164D7">
        <w:t xml:space="preserve">moved away from firing teachers and principals to simply shaming schools </w:t>
      </w:r>
      <w:r w:rsidR="00D164D7" w:rsidRPr="00CD5E8A">
        <w:rPr>
          <w:color w:val="000000" w:themeColor="text1"/>
        </w:rPr>
        <w:t xml:space="preserve">whose students </w:t>
      </w:r>
      <w:r w:rsidR="00D164D7">
        <w:t xml:space="preserve">did not perform well by requiring the grading of schools </w:t>
      </w:r>
      <w:r w:rsidR="00D164D7">
        <w:lastRenderedPageBreak/>
        <w:t>(A, B, C, D, or F or some other form of categoriz</w:t>
      </w:r>
      <w:r w:rsidR="00F82CB7">
        <w:t>ation</w:t>
      </w:r>
      <w:r w:rsidR="00D164D7">
        <w:t xml:space="preserve">) based upon academic </w:t>
      </w:r>
      <w:r w:rsidR="00D164D7" w:rsidRPr="00CD5E8A">
        <w:rPr>
          <w:color w:val="000000" w:themeColor="text1"/>
        </w:rPr>
        <w:t xml:space="preserve">achievement test </w:t>
      </w:r>
      <w:r w:rsidR="00D164D7">
        <w:t>performance.</w:t>
      </w:r>
      <w:r>
        <w:t xml:space="preserve"> Enter scapegoat number </w:t>
      </w:r>
      <w:r w:rsidR="003A2A0B">
        <w:t>five</w:t>
      </w:r>
      <w:r>
        <w:t>: the schools themselves.</w:t>
      </w:r>
      <w:r w:rsidR="00B27AB9">
        <w:t xml:space="preserve"> If spending more money, desegregation, and firing teachers and principals does not work, then shame the schools.</w:t>
      </w:r>
    </w:p>
    <w:p w14:paraId="489B5104" w14:textId="30DFEE99" w:rsidR="00AA1646" w:rsidRPr="00AA1646" w:rsidRDefault="00AA1646" w:rsidP="00AA1646">
      <w:pPr>
        <w:spacing w:line="480" w:lineRule="auto"/>
        <w:jc w:val="center"/>
        <w:rPr>
          <w:b/>
          <w:bCs/>
        </w:rPr>
      </w:pPr>
      <w:r w:rsidRPr="00AA1646">
        <w:rPr>
          <w:b/>
          <w:bCs/>
        </w:rPr>
        <w:t xml:space="preserve">Nebraska’s Response to the </w:t>
      </w:r>
      <w:proofErr w:type="spellStart"/>
      <w:r w:rsidRPr="00AA1646">
        <w:rPr>
          <w:b/>
          <w:bCs/>
        </w:rPr>
        <w:t>Bullsh</w:t>
      </w:r>
      <w:proofErr w:type="spellEnd"/>
      <w:r w:rsidRPr="00AA1646">
        <w:rPr>
          <w:b/>
          <w:bCs/>
        </w:rPr>
        <w:t>-initiatives</w:t>
      </w:r>
      <w:r w:rsidR="00A96C80">
        <w:rPr>
          <w:b/>
          <w:bCs/>
        </w:rPr>
        <w:t>: Hoop Jumping</w:t>
      </w:r>
    </w:p>
    <w:p w14:paraId="5548AA44" w14:textId="0ABB2F15" w:rsidR="00174DBF" w:rsidRPr="00342C2A" w:rsidRDefault="00174DBF" w:rsidP="00174DBF">
      <w:pPr>
        <w:spacing w:line="480" w:lineRule="auto"/>
        <w:ind w:firstLine="720"/>
      </w:pPr>
      <w:r>
        <w:t>The previously mentioned educational reform</w:t>
      </w:r>
      <w:r w:rsidRPr="00342C2A">
        <w:t xml:space="preserve"> mandates are from federal legislation passed by Congress</w:t>
      </w:r>
      <w:r>
        <w:t xml:space="preserve">, </w:t>
      </w:r>
      <w:r w:rsidRPr="00342C2A">
        <w:t>signed by three presidents</w:t>
      </w:r>
      <w:r>
        <w:t>,</w:t>
      </w:r>
      <w:r w:rsidRPr="00342C2A">
        <w:t xml:space="preserve"> and interpreted through regulations by the U.S. Department of Education. Nebraska and other states must comply or lose federal money which would mean tax increases for their </w:t>
      </w:r>
      <w:r>
        <w:t>citizens</w:t>
      </w:r>
      <w:r w:rsidRPr="00342C2A">
        <w:t xml:space="preserve">. Nebraska has </w:t>
      </w:r>
      <w:r>
        <w:t xml:space="preserve">often attempted to </w:t>
      </w:r>
      <w:r w:rsidRPr="00342C2A">
        <w:t xml:space="preserve">minimize the damage from these federal mandates to educators and students, sometimes at great risk of losing that federal money.  </w:t>
      </w:r>
    </w:p>
    <w:p w14:paraId="00B376DF" w14:textId="353F2888" w:rsidR="005555A2" w:rsidRPr="005555A2" w:rsidRDefault="000E324B" w:rsidP="000E324B">
      <w:pPr>
        <w:spacing w:line="480" w:lineRule="auto"/>
        <w:ind w:firstLine="720"/>
        <w:rPr>
          <w:color w:val="000000"/>
        </w:rPr>
      </w:pPr>
      <w:r w:rsidRPr="005555A2">
        <w:rPr>
          <w:color w:val="000000"/>
        </w:rPr>
        <w:t>In April 2000</w:t>
      </w:r>
      <w:r w:rsidR="008D1D08">
        <w:rPr>
          <w:color w:val="000000"/>
        </w:rPr>
        <w:t>,</w:t>
      </w:r>
      <w:r w:rsidRPr="005555A2">
        <w:rPr>
          <w:color w:val="000000"/>
        </w:rPr>
        <w:t xml:space="preserve"> Nebraska adopted the STARS (School-based, Teacher-led, Assessment Reporting System) – where districts designed tests and teachers had freedom in what they taught</w:t>
      </w:r>
      <w:r w:rsidR="0002633B">
        <w:rPr>
          <w:color w:val="000000"/>
        </w:rPr>
        <w:t>. School d</w:t>
      </w:r>
      <w:r w:rsidRPr="005555A2">
        <w:rPr>
          <w:color w:val="000000"/>
        </w:rPr>
        <w:t xml:space="preserve">istricts </w:t>
      </w:r>
      <w:r w:rsidR="0002633B">
        <w:rPr>
          <w:color w:val="000000"/>
        </w:rPr>
        <w:t xml:space="preserve">were </w:t>
      </w:r>
      <w:r w:rsidR="00D164D7">
        <w:rPr>
          <w:color w:val="000000"/>
        </w:rPr>
        <w:t>responsible for</w:t>
      </w:r>
      <w:r w:rsidRPr="005555A2">
        <w:rPr>
          <w:color w:val="000000"/>
        </w:rPr>
        <w:t xml:space="preserve"> </w:t>
      </w:r>
      <w:r w:rsidR="00D164D7">
        <w:rPr>
          <w:color w:val="000000"/>
        </w:rPr>
        <w:t>accountability efforts with</w:t>
      </w:r>
      <w:r w:rsidRPr="005555A2">
        <w:rPr>
          <w:color w:val="000000"/>
        </w:rPr>
        <w:t xml:space="preserve"> individual schools.</w:t>
      </w:r>
      <w:r>
        <w:rPr>
          <w:color w:val="000000"/>
        </w:rPr>
        <w:t xml:space="preserve"> </w:t>
      </w:r>
      <w:r w:rsidR="00D164D7">
        <w:rPr>
          <w:color w:val="000000"/>
        </w:rPr>
        <w:t xml:space="preserve">This </w:t>
      </w:r>
      <w:r w:rsidR="008D1D08">
        <w:rPr>
          <w:color w:val="000000"/>
        </w:rPr>
        <w:t xml:space="preserve">system </w:t>
      </w:r>
      <w:r w:rsidR="00133910">
        <w:rPr>
          <w:color w:val="000000"/>
        </w:rPr>
        <w:t>had barely taken flight</w:t>
      </w:r>
      <w:r w:rsidR="00D164D7">
        <w:rPr>
          <w:color w:val="000000"/>
        </w:rPr>
        <w:t xml:space="preserve"> i</w:t>
      </w:r>
      <w:r w:rsidRPr="005555A2">
        <w:rPr>
          <w:color w:val="000000"/>
        </w:rPr>
        <w:t>n 200</w:t>
      </w:r>
      <w:r w:rsidR="00AA1646">
        <w:rPr>
          <w:color w:val="000000"/>
        </w:rPr>
        <w:t>1</w:t>
      </w:r>
      <w:r w:rsidRPr="005555A2">
        <w:rPr>
          <w:color w:val="000000"/>
        </w:rPr>
        <w:t xml:space="preserve"> </w:t>
      </w:r>
      <w:r w:rsidR="00D164D7">
        <w:rPr>
          <w:color w:val="000000"/>
        </w:rPr>
        <w:t xml:space="preserve">when </w:t>
      </w:r>
      <w:r w:rsidRPr="005555A2">
        <w:rPr>
          <w:color w:val="000000"/>
        </w:rPr>
        <w:t>NCLB passed</w:t>
      </w:r>
      <w:r w:rsidR="00D164D7">
        <w:rPr>
          <w:color w:val="000000"/>
        </w:rPr>
        <w:t>.</w:t>
      </w:r>
      <w:r w:rsidRPr="005555A2">
        <w:rPr>
          <w:color w:val="000000"/>
        </w:rPr>
        <w:t xml:space="preserve"> </w:t>
      </w:r>
      <w:r w:rsidR="00053DDE">
        <w:rPr>
          <w:color w:val="000000"/>
        </w:rPr>
        <w:t xml:space="preserve">For </w:t>
      </w:r>
      <w:r w:rsidR="008D1D08">
        <w:rPr>
          <w:color w:val="000000"/>
        </w:rPr>
        <w:t xml:space="preserve">the next </w:t>
      </w:r>
      <w:r w:rsidR="00053DDE">
        <w:rPr>
          <w:color w:val="000000"/>
        </w:rPr>
        <w:t xml:space="preserve">eight years, </w:t>
      </w:r>
      <w:r w:rsidRPr="005555A2">
        <w:rPr>
          <w:color w:val="000000"/>
        </w:rPr>
        <w:t xml:space="preserve">Nebraska </w:t>
      </w:r>
      <w:r w:rsidR="008D1D08">
        <w:rPr>
          <w:color w:val="000000"/>
        </w:rPr>
        <w:t xml:space="preserve">successfully </w:t>
      </w:r>
      <w:r w:rsidRPr="005555A2">
        <w:rPr>
          <w:color w:val="000000"/>
        </w:rPr>
        <w:t xml:space="preserve">applied for waivers and adjustments to NCLB using STARS rules but was eventually forced into NCLB rules </w:t>
      </w:r>
      <w:r w:rsidR="00D164D7">
        <w:rPr>
          <w:color w:val="000000"/>
        </w:rPr>
        <w:t>and</w:t>
      </w:r>
      <w:r w:rsidRPr="005555A2">
        <w:rPr>
          <w:color w:val="000000"/>
        </w:rPr>
        <w:t xml:space="preserve"> </w:t>
      </w:r>
      <w:r>
        <w:rPr>
          <w:color w:val="000000"/>
        </w:rPr>
        <w:t xml:space="preserve">required </w:t>
      </w:r>
      <w:r w:rsidRPr="005555A2">
        <w:rPr>
          <w:color w:val="000000"/>
        </w:rPr>
        <w:t xml:space="preserve">uniform statewide tests </w:t>
      </w:r>
      <w:r>
        <w:rPr>
          <w:color w:val="000000"/>
        </w:rPr>
        <w:t>beg</w:t>
      </w:r>
      <w:r w:rsidR="00D164D7">
        <w:rPr>
          <w:color w:val="000000"/>
        </w:rPr>
        <w:t>inning</w:t>
      </w:r>
      <w:r w:rsidRPr="005555A2">
        <w:rPr>
          <w:color w:val="000000"/>
        </w:rPr>
        <w:t xml:space="preserve"> </w:t>
      </w:r>
      <w:r w:rsidR="00D164D7">
        <w:rPr>
          <w:color w:val="000000"/>
        </w:rPr>
        <w:t>with</w:t>
      </w:r>
      <w:r w:rsidRPr="005555A2">
        <w:rPr>
          <w:color w:val="000000"/>
        </w:rPr>
        <w:t xml:space="preserve"> </w:t>
      </w:r>
      <w:r>
        <w:rPr>
          <w:color w:val="000000"/>
        </w:rPr>
        <w:t xml:space="preserve">the </w:t>
      </w:r>
      <w:r w:rsidRPr="005555A2">
        <w:rPr>
          <w:color w:val="000000"/>
        </w:rPr>
        <w:t>2009-10 school year.</w:t>
      </w:r>
      <w:r>
        <w:rPr>
          <w:color w:val="000000"/>
        </w:rPr>
        <w:t xml:space="preserve"> </w:t>
      </w:r>
      <w:r w:rsidR="001428A0">
        <w:rPr>
          <w:color w:val="000000"/>
        </w:rPr>
        <w:t xml:space="preserve">With the </w:t>
      </w:r>
      <w:r>
        <w:rPr>
          <w:color w:val="000000"/>
        </w:rPr>
        <w:t xml:space="preserve">implementation of the </w:t>
      </w:r>
      <w:r w:rsidR="001428A0">
        <w:rPr>
          <w:color w:val="000000"/>
        </w:rPr>
        <w:t xml:space="preserve">federal </w:t>
      </w:r>
      <w:r w:rsidR="002868E4" w:rsidRPr="008D1D08">
        <w:rPr>
          <w:i/>
          <w:iCs/>
          <w:color w:val="000000"/>
        </w:rPr>
        <w:t>School Improvement Grant</w:t>
      </w:r>
      <w:r w:rsidR="001428A0">
        <w:rPr>
          <w:color w:val="000000"/>
        </w:rPr>
        <w:t xml:space="preserve"> </w:t>
      </w:r>
      <w:r w:rsidR="00053DDE">
        <w:rPr>
          <w:color w:val="000000"/>
        </w:rPr>
        <w:t xml:space="preserve">(SIG) </w:t>
      </w:r>
      <w:r w:rsidR="001428A0">
        <w:rPr>
          <w:color w:val="000000"/>
        </w:rPr>
        <w:t>program in 2009, the lowest</w:t>
      </w:r>
      <w:r>
        <w:rPr>
          <w:color w:val="000000"/>
        </w:rPr>
        <w:t xml:space="preserve"> </w:t>
      </w:r>
      <w:r w:rsidR="001428A0">
        <w:rPr>
          <w:color w:val="000000"/>
        </w:rPr>
        <w:t xml:space="preserve">achieving </w:t>
      </w:r>
      <w:r w:rsidR="003318E6">
        <w:rPr>
          <w:color w:val="000000"/>
        </w:rPr>
        <w:t>five percent</w:t>
      </w:r>
      <w:r w:rsidR="001428A0">
        <w:rPr>
          <w:color w:val="000000"/>
        </w:rPr>
        <w:t xml:space="preserve"> of schools were labeled</w:t>
      </w:r>
      <w:r w:rsidR="005555A2" w:rsidRPr="005555A2">
        <w:rPr>
          <w:color w:val="000000"/>
        </w:rPr>
        <w:t xml:space="preserve"> </w:t>
      </w:r>
      <w:r w:rsidR="005555A2" w:rsidRPr="008D1D08">
        <w:rPr>
          <w:i/>
          <w:iCs/>
          <w:color w:val="000000"/>
        </w:rPr>
        <w:t xml:space="preserve">Persistently Lowest </w:t>
      </w:r>
      <w:r w:rsidR="001428A0" w:rsidRPr="008D1D08">
        <w:rPr>
          <w:i/>
          <w:iCs/>
          <w:color w:val="000000"/>
        </w:rPr>
        <w:t>Achiev</w:t>
      </w:r>
      <w:r w:rsidR="005555A2" w:rsidRPr="008D1D08">
        <w:rPr>
          <w:i/>
          <w:iCs/>
          <w:color w:val="000000"/>
        </w:rPr>
        <w:t>ing Schools</w:t>
      </w:r>
      <w:r w:rsidR="00AA1646">
        <w:rPr>
          <w:color w:val="000000"/>
        </w:rPr>
        <w:t xml:space="preserve"> (PLAS)</w:t>
      </w:r>
      <w:r w:rsidR="001428A0">
        <w:rPr>
          <w:color w:val="000000"/>
        </w:rPr>
        <w:t xml:space="preserve">. </w:t>
      </w:r>
      <w:r w:rsidR="00A41737" w:rsidRPr="00087790">
        <w:t xml:space="preserve">PLAS </w:t>
      </w:r>
      <w:r w:rsidR="00A41737">
        <w:rPr>
          <w:color w:val="000000"/>
        </w:rPr>
        <w:t xml:space="preserve">were further defined as </w:t>
      </w:r>
      <w:r w:rsidR="00A41737" w:rsidRPr="00A41737">
        <w:rPr>
          <w:i/>
          <w:iCs/>
          <w:color w:val="000000"/>
        </w:rPr>
        <w:t>Need Improvement</w:t>
      </w:r>
      <w:r w:rsidR="00A41737" w:rsidRPr="00447A6C">
        <w:rPr>
          <w:color w:val="000000"/>
        </w:rPr>
        <w:t xml:space="preserve"> </w:t>
      </w:r>
      <w:r w:rsidR="00A41737">
        <w:rPr>
          <w:color w:val="000000"/>
        </w:rPr>
        <w:t xml:space="preserve">if they </w:t>
      </w:r>
      <w:r w:rsidR="00A41737" w:rsidRPr="00447A6C">
        <w:rPr>
          <w:color w:val="000000"/>
        </w:rPr>
        <w:t>fail</w:t>
      </w:r>
      <w:r w:rsidR="00A41737">
        <w:rPr>
          <w:color w:val="000000"/>
        </w:rPr>
        <w:t xml:space="preserve">ed to make adequate yearly progress by the </w:t>
      </w:r>
      <w:r w:rsidR="00A41737" w:rsidRPr="00447A6C">
        <w:rPr>
          <w:color w:val="000000"/>
        </w:rPr>
        <w:t>2</w:t>
      </w:r>
      <w:r w:rsidR="00A41737" w:rsidRPr="00447A6C">
        <w:rPr>
          <w:color w:val="000000"/>
          <w:vertAlign w:val="superscript"/>
        </w:rPr>
        <w:t>nd</w:t>
      </w:r>
      <w:r w:rsidR="00A41737" w:rsidRPr="00447A6C">
        <w:rPr>
          <w:color w:val="000000"/>
        </w:rPr>
        <w:t xml:space="preserve"> year or </w:t>
      </w:r>
      <w:r w:rsidR="00A41737">
        <w:rPr>
          <w:color w:val="000000"/>
        </w:rPr>
        <w:t>had less than a</w:t>
      </w:r>
      <w:r w:rsidR="00A41737" w:rsidRPr="00447A6C">
        <w:rPr>
          <w:color w:val="000000"/>
        </w:rPr>
        <w:t xml:space="preserve"> 75% graduation rate</w:t>
      </w:r>
      <w:r w:rsidR="00A41737">
        <w:rPr>
          <w:color w:val="000000"/>
        </w:rPr>
        <w:t xml:space="preserve">. </w:t>
      </w:r>
      <w:r w:rsidR="00556C78">
        <w:rPr>
          <w:color w:val="000000"/>
        </w:rPr>
        <w:t>Need improvement</w:t>
      </w:r>
      <w:r w:rsidR="00A41737">
        <w:rPr>
          <w:color w:val="000000"/>
        </w:rPr>
        <w:t xml:space="preserve"> schools</w:t>
      </w:r>
      <w:r w:rsidR="005555A2" w:rsidRPr="005555A2">
        <w:rPr>
          <w:color w:val="000000"/>
        </w:rPr>
        <w:t xml:space="preserve"> </w:t>
      </w:r>
      <w:r w:rsidR="008D1D08">
        <w:rPr>
          <w:color w:val="000000"/>
        </w:rPr>
        <w:t>were eligible for</w:t>
      </w:r>
      <w:r w:rsidR="005555A2" w:rsidRPr="005555A2">
        <w:rPr>
          <w:color w:val="000000"/>
        </w:rPr>
        <w:t xml:space="preserve"> a grant of </w:t>
      </w:r>
      <w:r>
        <w:rPr>
          <w:color w:val="000000"/>
        </w:rPr>
        <w:t>$</w:t>
      </w:r>
      <w:r w:rsidR="005555A2" w:rsidRPr="005555A2">
        <w:rPr>
          <w:color w:val="000000"/>
        </w:rPr>
        <w:t xml:space="preserve">500,000 for </w:t>
      </w:r>
      <w:r w:rsidR="00AA1646">
        <w:rPr>
          <w:color w:val="000000"/>
        </w:rPr>
        <w:t>three</w:t>
      </w:r>
      <w:r w:rsidR="005555A2" w:rsidRPr="005555A2">
        <w:rPr>
          <w:color w:val="000000"/>
        </w:rPr>
        <w:t xml:space="preserve"> years </w:t>
      </w:r>
      <w:r w:rsidR="008D1D08">
        <w:rPr>
          <w:color w:val="000000"/>
        </w:rPr>
        <w:t>if they</w:t>
      </w:r>
      <w:r w:rsidR="005555A2" w:rsidRPr="005555A2">
        <w:rPr>
          <w:color w:val="000000"/>
        </w:rPr>
        <w:t xml:space="preserve"> adopt</w:t>
      </w:r>
      <w:r w:rsidR="008D1D08">
        <w:rPr>
          <w:color w:val="000000"/>
        </w:rPr>
        <w:t>ed</w:t>
      </w:r>
      <w:r w:rsidR="005555A2" w:rsidRPr="005555A2">
        <w:rPr>
          <w:color w:val="000000"/>
        </w:rPr>
        <w:t xml:space="preserve"> </w:t>
      </w:r>
      <w:r w:rsidR="00AA1646">
        <w:rPr>
          <w:color w:val="000000"/>
        </w:rPr>
        <w:t>one</w:t>
      </w:r>
      <w:r w:rsidR="005555A2" w:rsidRPr="005555A2">
        <w:rPr>
          <w:color w:val="000000"/>
        </w:rPr>
        <w:t xml:space="preserve"> of </w:t>
      </w:r>
      <w:r w:rsidR="00AA1646">
        <w:rPr>
          <w:color w:val="000000"/>
        </w:rPr>
        <w:t>four</w:t>
      </w:r>
      <w:r w:rsidR="005555A2" w:rsidRPr="005555A2">
        <w:rPr>
          <w:color w:val="000000"/>
        </w:rPr>
        <w:t xml:space="preserve"> methods </w:t>
      </w:r>
      <w:r w:rsidR="00AA1646">
        <w:rPr>
          <w:color w:val="000000"/>
        </w:rPr>
        <w:t xml:space="preserve">intended </w:t>
      </w:r>
      <w:r w:rsidR="005555A2" w:rsidRPr="005555A2">
        <w:rPr>
          <w:color w:val="000000"/>
        </w:rPr>
        <w:t xml:space="preserve">to correct </w:t>
      </w:r>
      <w:r w:rsidR="00AA1646">
        <w:rPr>
          <w:color w:val="000000"/>
        </w:rPr>
        <w:t xml:space="preserve">the </w:t>
      </w:r>
      <w:r w:rsidR="005555A2" w:rsidRPr="005555A2">
        <w:rPr>
          <w:color w:val="000000"/>
        </w:rPr>
        <w:t>school</w:t>
      </w:r>
      <w:r w:rsidR="00AA1646">
        <w:rPr>
          <w:color w:val="000000"/>
        </w:rPr>
        <w:t>’s perceived inadequacy</w:t>
      </w:r>
      <w:r w:rsidR="005555A2" w:rsidRPr="005555A2">
        <w:rPr>
          <w:color w:val="000000"/>
        </w:rPr>
        <w:t>:</w:t>
      </w:r>
    </w:p>
    <w:p w14:paraId="7FE3F810" w14:textId="66CFEE91" w:rsidR="005555A2" w:rsidRPr="000E324B" w:rsidRDefault="005555A2" w:rsidP="000E324B">
      <w:pPr>
        <w:pStyle w:val="ListParagraph"/>
        <w:numPr>
          <w:ilvl w:val="0"/>
          <w:numId w:val="9"/>
        </w:numPr>
        <w:spacing w:line="480" w:lineRule="auto"/>
        <w:rPr>
          <w:rFonts w:cs="Times New Roman"/>
          <w:color w:val="000000"/>
          <w:szCs w:val="24"/>
        </w:rPr>
      </w:pPr>
      <w:r w:rsidRPr="000E324B">
        <w:rPr>
          <w:rFonts w:cs="Times New Roman"/>
          <w:color w:val="000000"/>
          <w:szCs w:val="24"/>
        </w:rPr>
        <w:t xml:space="preserve">Turnaround – fire </w:t>
      </w:r>
      <w:r w:rsidR="001A74F2">
        <w:rPr>
          <w:rFonts w:cs="Times New Roman"/>
          <w:color w:val="000000"/>
          <w:szCs w:val="24"/>
        </w:rPr>
        <w:t xml:space="preserve">principal and </w:t>
      </w:r>
      <w:r w:rsidRPr="000E324B">
        <w:rPr>
          <w:rFonts w:cs="Times New Roman"/>
          <w:color w:val="000000"/>
          <w:szCs w:val="24"/>
        </w:rPr>
        <w:t>all teachers and hire back no more than 50%</w:t>
      </w:r>
      <w:r w:rsidR="000E324B">
        <w:rPr>
          <w:rFonts w:cs="Times New Roman"/>
          <w:color w:val="000000"/>
          <w:szCs w:val="24"/>
        </w:rPr>
        <w:t>.</w:t>
      </w:r>
    </w:p>
    <w:p w14:paraId="67B080B6" w14:textId="2E617EC7" w:rsidR="005555A2" w:rsidRDefault="005555A2" w:rsidP="000E324B">
      <w:pPr>
        <w:pStyle w:val="ListParagraph"/>
        <w:numPr>
          <w:ilvl w:val="0"/>
          <w:numId w:val="9"/>
        </w:numPr>
        <w:spacing w:line="480" w:lineRule="auto"/>
        <w:rPr>
          <w:rFonts w:cs="Times New Roman"/>
          <w:color w:val="000000"/>
          <w:szCs w:val="24"/>
        </w:rPr>
      </w:pPr>
      <w:r w:rsidRPr="000E324B">
        <w:rPr>
          <w:rFonts w:cs="Times New Roman"/>
          <w:color w:val="000000"/>
          <w:szCs w:val="24"/>
        </w:rPr>
        <w:lastRenderedPageBreak/>
        <w:t xml:space="preserve">Close </w:t>
      </w:r>
      <w:r w:rsidR="000E324B">
        <w:rPr>
          <w:rFonts w:cs="Times New Roman"/>
          <w:color w:val="000000"/>
          <w:szCs w:val="24"/>
        </w:rPr>
        <w:t xml:space="preserve">the </w:t>
      </w:r>
      <w:r w:rsidRPr="000E324B">
        <w:rPr>
          <w:rFonts w:cs="Times New Roman"/>
          <w:color w:val="000000"/>
          <w:szCs w:val="24"/>
        </w:rPr>
        <w:t xml:space="preserve">school </w:t>
      </w:r>
      <w:r w:rsidR="000E324B">
        <w:rPr>
          <w:rFonts w:cs="Times New Roman"/>
          <w:color w:val="000000"/>
          <w:szCs w:val="24"/>
        </w:rPr>
        <w:t xml:space="preserve">and </w:t>
      </w:r>
      <w:r w:rsidRPr="000E324B">
        <w:rPr>
          <w:rFonts w:cs="Times New Roman"/>
          <w:color w:val="000000"/>
          <w:szCs w:val="24"/>
        </w:rPr>
        <w:t>reassign students</w:t>
      </w:r>
      <w:r w:rsidR="000E324B">
        <w:rPr>
          <w:rFonts w:cs="Times New Roman"/>
          <w:color w:val="000000"/>
          <w:szCs w:val="24"/>
        </w:rPr>
        <w:t xml:space="preserve"> to other nearby schools.</w:t>
      </w:r>
    </w:p>
    <w:p w14:paraId="7946B814" w14:textId="16655A82" w:rsidR="005555A2" w:rsidRDefault="000E324B" w:rsidP="000E324B">
      <w:pPr>
        <w:pStyle w:val="ListParagraph"/>
        <w:numPr>
          <w:ilvl w:val="0"/>
          <w:numId w:val="9"/>
        </w:numPr>
        <w:spacing w:line="480" w:lineRule="auto"/>
        <w:rPr>
          <w:rFonts w:cs="Times New Roman"/>
          <w:color w:val="000000"/>
          <w:szCs w:val="24"/>
        </w:rPr>
      </w:pPr>
      <w:r>
        <w:rPr>
          <w:rFonts w:cs="Times New Roman"/>
          <w:color w:val="000000"/>
          <w:szCs w:val="24"/>
        </w:rPr>
        <w:t>Convert to a c</w:t>
      </w:r>
      <w:r w:rsidR="005555A2" w:rsidRPr="000E324B">
        <w:rPr>
          <w:rFonts w:cs="Times New Roman"/>
          <w:color w:val="000000"/>
          <w:szCs w:val="24"/>
        </w:rPr>
        <w:t>harter school (</w:t>
      </w:r>
      <w:r w:rsidR="002868E4">
        <w:rPr>
          <w:rFonts w:cs="Times New Roman"/>
          <w:color w:val="000000"/>
          <w:szCs w:val="24"/>
        </w:rPr>
        <w:t xml:space="preserve">which was </w:t>
      </w:r>
      <w:r w:rsidR="005555A2" w:rsidRPr="000E324B">
        <w:rPr>
          <w:rFonts w:cs="Times New Roman"/>
          <w:color w:val="000000"/>
          <w:szCs w:val="24"/>
        </w:rPr>
        <w:t>not allowed in N</w:t>
      </w:r>
      <w:r w:rsidR="002868E4">
        <w:rPr>
          <w:rFonts w:cs="Times New Roman"/>
          <w:color w:val="000000"/>
          <w:szCs w:val="24"/>
        </w:rPr>
        <w:t>ebraska</w:t>
      </w:r>
      <w:r w:rsidR="005555A2" w:rsidRPr="000E324B">
        <w:rPr>
          <w:rFonts w:cs="Times New Roman"/>
          <w:color w:val="000000"/>
          <w:szCs w:val="24"/>
        </w:rPr>
        <w:t>)</w:t>
      </w:r>
      <w:r>
        <w:rPr>
          <w:rFonts w:cs="Times New Roman"/>
          <w:color w:val="000000"/>
          <w:szCs w:val="24"/>
        </w:rPr>
        <w:t>.</w:t>
      </w:r>
    </w:p>
    <w:p w14:paraId="2910E209" w14:textId="6F32309D" w:rsidR="005555A2" w:rsidRPr="000E324B" w:rsidRDefault="005555A2" w:rsidP="000E324B">
      <w:pPr>
        <w:pStyle w:val="ListParagraph"/>
        <w:numPr>
          <w:ilvl w:val="0"/>
          <w:numId w:val="9"/>
        </w:numPr>
        <w:spacing w:line="480" w:lineRule="auto"/>
        <w:rPr>
          <w:rFonts w:cs="Times New Roman"/>
          <w:color w:val="000000"/>
          <w:szCs w:val="24"/>
        </w:rPr>
      </w:pPr>
      <w:r w:rsidRPr="000E324B">
        <w:rPr>
          <w:rFonts w:cs="Times New Roman"/>
          <w:color w:val="000000"/>
          <w:szCs w:val="24"/>
        </w:rPr>
        <w:t xml:space="preserve">Transition – fire principal and adopt other measures (in some cases </w:t>
      </w:r>
      <w:r w:rsidR="00B6458C" w:rsidRPr="000E324B">
        <w:rPr>
          <w:rFonts w:cs="Times New Roman"/>
          <w:color w:val="000000"/>
          <w:szCs w:val="24"/>
        </w:rPr>
        <w:t xml:space="preserve">the </w:t>
      </w:r>
      <w:r w:rsidRPr="000E324B">
        <w:rPr>
          <w:rFonts w:cs="Times New Roman"/>
          <w:color w:val="000000"/>
          <w:szCs w:val="24"/>
        </w:rPr>
        <w:t>principal was simply transferred)</w:t>
      </w:r>
    </w:p>
    <w:p w14:paraId="66934A7B" w14:textId="3F30AEB4" w:rsidR="005D626B" w:rsidRPr="005D626B" w:rsidRDefault="002868E4" w:rsidP="005D626B">
      <w:pPr>
        <w:spacing w:line="480" w:lineRule="auto"/>
        <w:ind w:firstLine="720"/>
        <w:rPr>
          <w:color w:val="000000"/>
        </w:rPr>
      </w:pPr>
      <w:r>
        <w:rPr>
          <w:color w:val="000000"/>
        </w:rPr>
        <w:t xml:space="preserve">The </w:t>
      </w:r>
      <w:r w:rsidR="005555A2" w:rsidRPr="005555A2">
        <w:rPr>
          <w:color w:val="000000"/>
        </w:rPr>
        <w:t>Nebraska Performance Accountability System</w:t>
      </w:r>
      <w:r>
        <w:rPr>
          <w:color w:val="000000"/>
        </w:rPr>
        <w:t xml:space="preserve"> (</w:t>
      </w:r>
      <w:proofErr w:type="spellStart"/>
      <w:r w:rsidRPr="005555A2">
        <w:rPr>
          <w:color w:val="000000"/>
        </w:rPr>
        <w:t>NePAS</w:t>
      </w:r>
      <w:proofErr w:type="spellEnd"/>
      <w:r>
        <w:rPr>
          <w:color w:val="000000"/>
        </w:rPr>
        <w:t>)</w:t>
      </w:r>
      <w:r w:rsidR="005555A2" w:rsidRPr="005555A2">
        <w:rPr>
          <w:color w:val="000000"/>
        </w:rPr>
        <w:t xml:space="preserve"> was implemented in 2012</w:t>
      </w:r>
      <w:r w:rsidR="00886414">
        <w:rPr>
          <w:color w:val="000000"/>
        </w:rPr>
        <w:t xml:space="preserve"> to rank schools</w:t>
      </w:r>
      <w:r w:rsidR="005555A2" w:rsidRPr="005555A2">
        <w:rPr>
          <w:color w:val="000000"/>
        </w:rPr>
        <w:t>. </w:t>
      </w:r>
      <w:proofErr w:type="spellStart"/>
      <w:r w:rsidR="000E324B">
        <w:rPr>
          <w:color w:val="000000"/>
        </w:rPr>
        <w:t>NePAS</w:t>
      </w:r>
      <w:proofErr w:type="spellEnd"/>
      <w:r w:rsidR="000E324B">
        <w:rPr>
          <w:color w:val="000000"/>
        </w:rPr>
        <w:t xml:space="preserve"> was a c</w:t>
      </w:r>
      <w:r w:rsidR="005555A2" w:rsidRPr="005555A2">
        <w:rPr>
          <w:color w:val="000000"/>
        </w:rPr>
        <w:t>omplicated system using graduation rates, school grade scores, improvement (school grade improvement), growth (student improvement) and participation</w:t>
      </w:r>
      <w:r w:rsidR="00886414">
        <w:rPr>
          <w:color w:val="000000"/>
        </w:rPr>
        <w:t>,</w:t>
      </w:r>
      <w:r w:rsidR="005555A2" w:rsidRPr="005555A2">
        <w:rPr>
          <w:color w:val="000000"/>
        </w:rPr>
        <w:t xml:space="preserve"> </w:t>
      </w:r>
      <w:r w:rsidR="00886414">
        <w:rPr>
          <w:color w:val="000000"/>
        </w:rPr>
        <w:t>and</w:t>
      </w:r>
      <w:r w:rsidR="005555A2" w:rsidRPr="005555A2">
        <w:rPr>
          <w:color w:val="000000"/>
        </w:rPr>
        <w:t xml:space="preserve"> </w:t>
      </w:r>
      <w:r w:rsidR="00886414">
        <w:rPr>
          <w:color w:val="000000"/>
        </w:rPr>
        <w:t>still had the</w:t>
      </w:r>
      <w:r w:rsidR="005555A2" w:rsidRPr="005555A2">
        <w:rPr>
          <w:color w:val="000000"/>
        </w:rPr>
        <w:t xml:space="preserve"> NCLB AYP requirement and PLAS remained in force</w:t>
      </w:r>
      <w:r w:rsidR="000E324B">
        <w:rPr>
          <w:color w:val="000000"/>
        </w:rPr>
        <w:t>.</w:t>
      </w:r>
      <w:r w:rsidR="00A65C7A">
        <w:rPr>
          <w:color w:val="000000"/>
        </w:rPr>
        <w:t xml:space="preserve"> </w:t>
      </w:r>
    </w:p>
    <w:p w14:paraId="602FD080" w14:textId="19A88AA5" w:rsidR="005D626B" w:rsidRPr="00F82750" w:rsidRDefault="005D626B" w:rsidP="005D626B">
      <w:pPr>
        <w:spacing w:line="480" w:lineRule="auto"/>
        <w:ind w:firstLine="720"/>
      </w:pPr>
      <w:r w:rsidRPr="000A4729">
        <w:rPr>
          <w:color w:val="000000"/>
        </w:rPr>
        <w:t>Beginning with the 2015-16 school year,</w:t>
      </w:r>
      <w:r w:rsidRPr="007E0A87">
        <w:rPr>
          <w:color w:val="000000"/>
        </w:rPr>
        <w:t xml:space="preserve"> </w:t>
      </w:r>
      <w:proofErr w:type="spellStart"/>
      <w:r>
        <w:rPr>
          <w:color w:val="000000"/>
        </w:rPr>
        <w:t>NePAS</w:t>
      </w:r>
      <w:proofErr w:type="spellEnd"/>
      <w:r w:rsidRPr="007E0A87">
        <w:rPr>
          <w:color w:val="000000"/>
        </w:rPr>
        <w:t xml:space="preserve"> </w:t>
      </w:r>
      <w:r w:rsidRPr="000A4729">
        <w:rPr>
          <w:color w:val="000000"/>
        </w:rPr>
        <w:t>was replaced with</w:t>
      </w:r>
      <w:r>
        <w:rPr>
          <w:color w:val="000000"/>
        </w:rPr>
        <w:t xml:space="preserve"> yet another accountability system -</w:t>
      </w:r>
      <w:r w:rsidRPr="007E0A87">
        <w:rPr>
          <w:color w:val="000000"/>
        </w:rPr>
        <w:t xml:space="preserve"> </w:t>
      </w:r>
      <w:proofErr w:type="spellStart"/>
      <w:r w:rsidRPr="007E0A87">
        <w:rPr>
          <w:color w:val="000000"/>
        </w:rPr>
        <w:t>AQuESTT</w:t>
      </w:r>
      <w:proofErr w:type="spellEnd"/>
      <w:r w:rsidRPr="007E0A87">
        <w:rPr>
          <w:color w:val="000000"/>
        </w:rPr>
        <w:t xml:space="preserve"> (A Quality Education System for Today and Tomorrow</w:t>
      </w:r>
      <w:r w:rsidRPr="000A4729">
        <w:rPr>
          <w:color w:val="000000"/>
        </w:rPr>
        <w:t>)</w:t>
      </w:r>
      <w:r w:rsidRPr="007E0A87">
        <w:rPr>
          <w:color w:val="000000"/>
        </w:rPr>
        <w:t>.</w:t>
      </w:r>
      <w:r>
        <w:rPr>
          <w:color w:val="000000"/>
        </w:rPr>
        <w:t xml:space="preserve"> </w:t>
      </w:r>
      <w:r>
        <w:t xml:space="preserve">As part of </w:t>
      </w:r>
      <w:proofErr w:type="spellStart"/>
      <w:r>
        <w:t>AQuESTT</w:t>
      </w:r>
      <w:proofErr w:type="spellEnd"/>
      <w:r>
        <w:t xml:space="preserve"> every school had to complete an Evidence-Based Analysis (EBA) questionnaire. </w:t>
      </w:r>
      <w:proofErr w:type="spellStart"/>
      <w:r>
        <w:t>AQuESTT</w:t>
      </w:r>
      <w:proofErr w:type="spellEnd"/>
      <w:r>
        <w:t xml:space="preserve"> is a monster – it takes 28 pages to explain and 83 columns on a spreadsheet to calculate the rankings. </w:t>
      </w:r>
      <w:r>
        <w:rPr>
          <w:color w:val="000000"/>
        </w:rPr>
        <w:t xml:space="preserve">Suffice it to say that much of the weight in classification depended on test results and other measures that strongly correlate with test scores. </w:t>
      </w:r>
      <w:r w:rsidRPr="000A4729">
        <w:rPr>
          <w:color w:val="000000"/>
        </w:rPr>
        <w:t>Schools are categorized as one of four types</w:t>
      </w:r>
      <w:r w:rsidRPr="007E0A87">
        <w:rPr>
          <w:color w:val="000000"/>
        </w:rPr>
        <w:t xml:space="preserve"> with</w:t>
      </w:r>
      <w:r w:rsidRPr="000A4729">
        <w:rPr>
          <w:color w:val="000000"/>
        </w:rPr>
        <w:t xml:space="preserve"> 15% as excellent, 50% as great, 30% as good, and 5% as need improvement.</w:t>
      </w:r>
    </w:p>
    <w:p w14:paraId="3A3AA571" w14:textId="0A281816" w:rsidR="005D626B" w:rsidRDefault="005D626B" w:rsidP="005D626B">
      <w:pPr>
        <w:spacing w:line="480" w:lineRule="auto"/>
        <w:ind w:firstLine="720"/>
      </w:pPr>
      <w:proofErr w:type="gramStart"/>
      <w:r>
        <w:rPr>
          <w:color w:val="000000"/>
        </w:rPr>
        <w:t>Similar to</w:t>
      </w:r>
      <w:proofErr w:type="gramEnd"/>
      <w:r>
        <w:rPr>
          <w:color w:val="000000"/>
        </w:rPr>
        <w:t xml:space="preserve"> PLAS, o</w:t>
      </w:r>
      <w:r w:rsidRPr="000A4729">
        <w:rPr>
          <w:color w:val="000000"/>
        </w:rPr>
        <w:t xml:space="preserve">nce identified, </w:t>
      </w:r>
      <w:r>
        <w:rPr>
          <w:color w:val="000000"/>
        </w:rPr>
        <w:t xml:space="preserve">at least </w:t>
      </w:r>
      <w:r w:rsidRPr="000A4729">
        <w:rPr>
          <w:color w:val="000000"/>
        </w:rPr>
        <w:t xml:space="preserve">three of </w:t>
      </w:r>
      <w:r w:rsidRPr="007E0A87">
        <w:rPr>
          <w:color w:val="000000"/>
        </w:rPr>
        <w:t xml:space="preserve">the </w:t>
      </w:r>
      <w:r w:rsidRPr="000A4729">
        <w:rPr>
          <w:color w:val="000000"/>
        </w:rPr>
        <w:t>“need improvement”</w:t>
      </w:r>
      <w:r w:rsidRPr="007E0A87">
        <w:rPr>
          <w:color w:val="000000"/>
        </w:rPr>
        <w:t xml:space="preserve"> </w:t>
      </w:r>
      <w:r w:rsidRPr="000A4729">
        <w:rPr>
          <w:color w:val="000000"/>
        </w:rPr>
        <w:t xml:space="preserve">schools </w:t>
      </w:r>
      <w:r w:rsidRPr="007E0A87">
        <w:rPr>
          <w:color w:val="000000"/>
        </w:rPr>
        <w:t xml:space="preserve">are selected for intense intervention from </w:t>
      </w:r>
      <w:r w:rsidRPr="000A4729">
        <w:rPr>
          <w:color w:val="000000"/>
        </w:rPr>
        <w:t>the Nebraska Department of Education (</w:t>
      </w:r>
      <w:r w:rsidRPr="007E0A87">
        <w:rPr>
          <w:color w:val="000000"/>
        </w:rPr>
        <w:t>NDE</w:t>
      </w:r>
      <w:r w:rsidRPr="000A4729">
        <w:rPr>
          <w:color w:val="000000"/>
        </w:rPr>
        <w:t>)</w:t>
      </w:r>
      <w:r w:rsidRPr="007E0A87">
        <w:rPr>
          <w:color w:val="000000"/>
        </w:rPr>
        <w:t xml:space="preserve"> whether they want it or not</w:t>
      </w:r>
      <w:r>
        <w:t xml:space="preserve"> from NDE or a consultant hired by NDE.  The intent is to:</w:t>
      </w:r>
    </w:p>
    <w:p w14:paraId="76E9A67B" w14:textId="77777777" w:rsidR="005D626B" w:rsidRPr="0002025F" w:rsidRDefault="005D626B" w:rsidP="005D626B">
      <w:pPr>
        <w:pStyle w:val="ListParagraph"/>
        <w:numPr>
          <w:ilvl w:val="0"/>
          <w:numId w:val="4"/>
        </w:numPr>
        <w:spacing w:line="480" w:lineRule="auto"/>
      </w:pPr>
      <w:r w:rsidRPr="0002025F">
        <w:t>Diagnose key areas of school effectiveness</w:t>
      </w:r>
    </w:p>
    <w:p w14:paraId="7CA4B2FE" w14:textId="77777777" w:rsidR="005D626B" w:rsidRPr="0002025F" w:rsidRDefault="005D626B" w:rsidP="005D626B">
      <w:pPr>
        <w:pStyle w:val="ListParagraph"/>
        <w:numPr>
          <w:ilvl w:val="0"/>
          <w:numId w:val="4"/>
        </w:numPr>
        <w:spacing w:line="480" w:lineRule="auto"/>
      </w:pPr>
      <w:r w:rsidRPr="0002025F">
        <w:t xml:space="preserve">Develop a </w:t>
      </w:r>
      <w:r w:rsidRPr="005D626B">
        <w:rPr>
          <w:color w:val="000000" w:themeColor="text1"/>
        </w:rPr>
        <w:t xml:space="preserve">progress plan </w:t>
      </w:r>
      <w:r w:rsidRPr="0002025F">
        <w:t>for improvement</w:t>
      </w:r>
    </w:p>
    <w:p w14:paraId="52B1B87B" w14:textId="44AC9A79" w:rsidR="005D626B" w:rsidRDefault="005D626B" w:rsidP="005D626B">
      <w:pPr>
        <w:pStyle w:val="ListParagraph"/>
        <w:numPr>
          <w:ilvl w:val="0"/>
          <w:numId w:val="4"/>
        </w:numPr>
        <w:spacing w:line="480" w:lineRule="auto"/>
      </w:pPr>
      <w:r w:rsidRPr="0002025F">
        <w:t xml:space="preserve">Monitor and support the progress plan implementation </w:t>
      </w:r>
    </w:p>
    <w:p w14:paraId="06FF3309" w14:textId="1F8C3BBA" w:rsidR="005D626B" w:rsidRDefault="005D626B" w:rsidP="005D626B">
      <w:pPr>
        <w:spacing w:line="480" w:lineRule="auto"/>
      </w:pPr>
      <w:r>
        <w:t xml:space="preserve">The content of the </w:t>
      </w:r>
      <w:r>
        <w:rPr>
          <w:color w:val="000000" w:themeColor="text1"/>
        </w:rPr>
        <w:t>p</w:t>
      </w:r>
      <w:r w:rsidRPr="005D626B">
        <w:rPr>
          <w:color w:val="000000" w:themeColor="text1"/>
        </w:rPr>
        <w:t xml:space="preserve">rogress </w:t>
      </w:r>
      <w:r>
        <w:rPr>
          <w:color w:val="000000" w:themeColor="text1"/>
        </w:rPr>
        <w:t>p</w:t>
      </w:r>
      <w:r w:rsidRPr="005D626B">
        <w:rPr>
          <w:color w:val="000000" w:themeColor="text1"/>
        </w:rPr>
        <w:t xml:space="preserve">lan </w:t>
      </w:r>
      <w:r>
        <w:t>for improvement includes:</w:t>
      </w:r>
    </w:p>
    <w:p w14:paraId="07558669" w14:textId="77777777" w:rsidR="005D626B" w:rsidRPr="0002025F" w:rsidRDefault="005D626B" w:rsidP="005D626B">
      <w:pPr>
        <w:pStyle w:val="ListParagraph"/>
        <w:numPr>
          <w:ilvl w:val="0"/>
          <w:numId w:val="5"/>
        </w:numPr>
        <w:spacing w:line="480" w:lineRule="auto"/>
      </w:pPr>
      <w:r w:rsidRPr="0002025F">
        <w:lastRenderedPageBreak/>
        <w:t>Required actions for improvement</w:t>
      </w:r>
    </w:p>
    <w:p w14:paraId="77122F13" w14:textId="77777777" w:rsidR="005D626B" w:rsidRPr="0002025F" w:rsidRDefault="005D626B" w:rsidP="005D626B">
      <w:pPr>
        <w:pStyle w:val="ListParagraph"/>
        <w:numPr>
          <w:ilvl w:val="0"/>
          <w:numId w:val="5"/>
        </w:numPr>
        <w:spacing w:line="480" w:lineRule="auto"/>
      </w:pPr>
      <w:r w:rsidRPr="0002025F">
        <w:t>Measurable indicators of progress</w:t>
      </w:r>
    </w:p>
    <w:p w14:paraId="0FA4F04E" w14:textId="77777777" w:rsidR="005D626B" w:rsidRPr="0002025F" w:rsidRDefault="005D626B" w:rsidP="005D626B">
      <w:pPr>
        <w:pStyle w:val="ListParagraph"/>
        <w:numPr>
          <w:ilvl w:val="0"/>
          <w:numId w:val="5"/>
        </w:numPr>
        <w:spacing w:line="480" w:lineRule="auto"/>
      </w:pPr>
      <w:r w:rsidRPr="0002025F">
        <w:t>Strategies for improvement</w:t>
      </w:r>
    </w:p>
    <w:p w14:paraId="2F30E6D2" w14:textId="3E18B31E" w:rsidR="005D626B" w:rsidRDefault="005D626B" w:rsidP="005D626B">
      <w:pPr>
        <w:pStyle w:val="ListParagraph"/>
        <w:numPr>
          <w:ilvl w:val="0"/>
          <w:numId w:val="5"/>
        </w:numPr>
        <w:spacing w:line="480" w:lineRule="auto"/>
      </w:pPr>
      <w:r w:rsidRPr="0002025F">
        <w:t>Timelines for improvement</w:t>
      </w:r>
    </w:p>
    <w:p w14:paraId="4130BD8E" w14:textId="1357F869" w:rsidR="007E0A87" w:rsidRPr="005D626B" w:rsidRDefault="005D626B" w:rsidP="005D626B">
      <w:pPr>
        <w:spacing w:line="480" w:lineRule="auto"/>
      </w:pPr>
      <w:r>
        <w:t xml:space="preserve">The NDE or consultant annually reviews the </w:t>
      </w:r>
      <w:r>
        <w:rPr>
          <w:color w:val="000000" w:themeColor="text1"/>
        </w:rPr>
        <w:t>p</w:t>
      </w:r>
      <w:r w:rsidRPr="005D626B">
        <w:rPr>
          <w:color w:val="000000" w:themeColor="text1"/>
        </w:rPr>
        <w:t>lan</w:t>
      </w:r>
      <w:r>
        <w:t xml:space="preserve"> and the progress under the </w:t>
      </w:r>
      <w:r>
        <w:rPr>
          <w:color w:val="000000" w:themeColor="text1"/>
        </w:rPr>
        <w:t>p</w:t>
      </w:r>
      <w:r w:rsidRPr="005D626B">
        <w:rPr>
          <w:color w:val="000000" w:themeColor="text1"/>
        </w:rPr>
        <w:t>lan</w:t>
      </w:r>
      <w:r>
        <w:t>. Additionally, a plan board reviews the plan and determines when a priority school may exit the priority status.</w:t>
      </w:r>
    </w:p>
    <w:p w14:paraId="4F338A13" w14:textId="6A41AF8A" w:rsidR="000F58B7" w:rsidRPr="004E096F" w:rsidRDefault="000F58B7" w:rsidP="003F7CC8">
      <w:pPr>
        <w:spacing w:line="480" w:lineRule="auto"/>
        <w:jc w:val="center"/>
        <w:rPr>
          <w:b/>
          <w:bCs/>
          <w:u w:val="single"/>
        </w:rPr>
      </w:pPr>
      <w:r w:rsidRPr="004E096F">
        <w:rPr>
          <w:b/>
          <w:bCs/>
        </w:rPr>
        <w:t>Two Different Worlds</w:t>
      </w:r>
      <w:r w:rsidR="00BA2E12">
        <w:rPr>
          <w:b/>
          <w:bCs/>
        </w:rPr>
        <w:t xml:space="preserve"> for Excellent and Need Improvement Schools</w:t>
      </w:r>
    </w:p>
    <w:p w14:paraId="1094216D" w14:textId="2E1D9D62" w:rsidR="009E6F26" w:rsidRDefault="00284442" w:rsidP="00347510">
      <w:pPr>
        <w:spacing w:line="480" w:lineRule="auto"/>
        <w:ind w:firstLine="720"/>
      </w:pPr>
      <w:r>
        <w:rPr>
          <w:color w:val="000000"/>
        </w:rPr>
        <w:t xml:space="preserve">Table 1 shows the four </w:t>
      </w:r>
      <w:proofErr w:type="spellStart"/>
      <w:r>
        <w:rPr>
          <w:color w:val="000000"/>
        </w:rPr>
        <w:t>AQuESTT</w:t>
      </w:r>
      <w:proofErr w:type="spellEnd"/>
      <w:r>
        <w:rPr>
          <w:color w:val="000000"/>
        </w:rPr>
        <w:t xml:space="preserve"> categories broken down by race and FRL percentages. </w:t>
      </w:r>
      <w:r w:rsidR="00A65C7A">
        <w:rPr>
          <w:color w:val="000000"/>
        </w:rPr>
        <w:t xml:space="preserve">Not surprisingly, </w:t>
      </w:r>
      <w:r w:rsidR="0028367E">
        <w:rPr>
          <w:color w:val="000000"/>
        </w:rPr>
        <w:t xml:space="preserve">contrasting </w:t>
      </w:r>
      <w:r w:rsidR="00A65C7A">
        <w:rPr>
          <w:color w:val="000000"/>
        </w:rPr>
        <w:t xml:space="preserve">the </w:t>
      </w:r>
      <w:r w:rsidR="00347510">
        <w:rPr>
          <w:color w:val="000000"/>
        </w:rPr>
        <w:t>Excellent and Need Improvement</w:t>
      </w:r>
      <w:r w:rsidR="00A65C7A">
        <w:rPr>
          <w:color w:val="000000"/>
        </w:rPr>
        <w:t xml:space="preserve"> </w:t>
      </w:r>
      <w:r>
        <w:rPr>
          <w:color w:val="000000"/>
        </w:rPr>
        <w:t xml:space="preserve">categories </w:t>
      </w:r>
      <w:r w:rsidR="00A65C7A">
        <w:rPr>
          <w:color w:val="000000"/>
        </w:rPr>
        <w:t>simply reveal</w:t>
      </w:r>
      <w:r w:rsidR="0028367E">
        <w:rPr>
          <w:color w:val="000000"/>
        </w:rPr>
        <w:t>s</w:t>
      </w:r>
      <w:r w:rsidR="00A65C7A">
        <w:rPr>
          <w:color w:val="000000"/>
        </w:rPr>
        <w:t xml:space="preserve"> high poverty vs. low poverty schools. </w:t>
      </w:r>
      <w:r>
        <w:rPr>
          <w:color w:val="000000"/>
        </w:rPr>
        <w:t>F</w:t>
      </w:r>
      <w:r w:rsidR="0015794A">
        <w:rPr>
          <w:color w:val="000000"/>
        </w:rPr>
        <w:t xml:space="preserve">or the </w:t>
      </w:r>
      <w:r w:rsidR="00083D4A">
        <w:rPr>
          <w:color w:val="000000"/>
        </w:rPr>
        <w:t>395</w:t>
      </w:r>
      <w:r w:rsidR="0015794A">
        <w:rPr>
          <w:color w:val="000000"/>
        </w:rPr>
        <w:t xml:space="preserve"> schools in the largest </w:t>
      </w:r>
      <w:r w:rsidR="00083D4A">
        <w:rPr>
          <w:color w:val="000000"/>
        </w:rPr>
        <w:t xml:space="preserve">(1,000 or more students) </w:t>
      </w:r>
      <w:r w:rsidR="0015794A">
        <w:rPr>
          <w:color w:val="000000"/>
        </w:rPr>
        <w:t xml:space="preserve">27 school districts, which include over </w:t>
      </w:r>
      <w:r w:rsidR="00083D4A">
        <w:rPr>
          <w:color w:val="000000"/>
        </w:rPr>
        <w:t>two thirds</w:t>
      </w:r>
      <w:r w:rsidR="0015794A">
        <w:rPr>
          <w:color w:val="000000"/>
        </w:rPr>
        <w:t xml:space="preserve"> of Nebraska’s students, schools with 30% </w:t>
      </w:r>
      <w:r w:rsidR="00083D4A">
        <w:rPr>
          <w:color w:val="000000"/>
        </w:rPr>
        <w:t xml:space="preserve">or less </w:t>
      </w:r>
      <w:r w:rsidR="0015794A">
        <w:rPr>
          <w:color w:val="000000"/>
        </w:rPr>
        <w:t xml:space="preserve">of their students receiving FRL accounted for 87% of the excellent schools and none of the need improvement schools. On the other hand, schools with over 70% </w:t>
      </w:r>
      <w:r w:rsidR="00083D4A">
        <w:rPr>
          <w:color w:val="000000"/>
        </w:rPr>
        <w:t xml:space="preserve">or more </w:t>
      </w:r>
      <w:r w:rsidR="0015794A">
        <w:rPr>
          <w:color w:val="000000"/>
        </w:rPr>
        <w:t xml:space="preserve">of their students receiving FRL accounted for none of the excellent schools and 85% of the need improvement schools. </w:t>
      </w:r>
      <w:r w:rsidR="00F0428C">
        <w:rPr>
          <w:color w:val="000000"/>
        </w:rPr>
        <w:t xml:space="preserve">The </w:t>
      </w:r>
      <w:proofErr w:type="spellStart"/>
      <w:r w:rsidR="00F0428C">
        <w:rPr>
          <w:color w:val="000000"/>
        </w:rPr>
        <w:t>AQuESTT</w:t>
      </w:r>
      <w:proofErr w:type="spellEnd"/>
      <w:r w:rsidR="00F0428C">
        <w:rPr>
          <w:color w:val="000000"/>
        </w:rPr>
        <w:t xml:space="preserve"> categorization also reveals clear racial differences in the two worlds. </w:t>
      </w:r>
      <w:r w:rsidR="0028367E">
        <w:rPr>
          <w:color w:val="000000"/>
        </w:rPr>
        <w:t xml:space="preserve">Since 1965, race and poverty continue to be unwelcome guests at the educational reform parties. </w:t>
      </w:r>
      <w:r w:rsidR="00BA2E12">
        <w:t>T</w:t>
      </w:r>
      <w:r>
        <w:t>he two extreme</w:t>
      </w:r>
      <w:r w:rsidR="0015794A">
        <w:t xml:space="preserve"> categor</w:t>
      </w:r>
      <w:r>
        <w:t>ies</w:t>
      </w:r>
      <w:r w:rsidR="0015794A">
        <w:t xml:space="preserve"> </w:t>
      </w:r>
      <w:r w:rsidR="00347510">
        <w:t>m</w:t>
      </w:r>
      <w:r w:rsidR="0028367E">
        <w:t>ost</w:t>
      </w:r>
      <w:r w:rsidR="00347510">
        <w:t xml:space="preserve">ly </w:t>
      </w:r>
      <w:r w:rsidR="00BA2E12">
        <w:t>contain</w:t>
      </w:r>
      <w:r w:rsidR="0015794A">
        <w:t xml:space="preserve"> schools </w:t>
      </w:r>
      <w:r w:rsidR="0028367E">
        <w:t xml:space="preserve">that exist </w:t>
      </w:r>
      <w:r w:rsidR="00BA2E12">
        <w:t>in</w:t>
      </w:r>
      <w:r w:rsidR="0015794A">
        <w:t xml:space="preserve"> two different worlds</w:t>
      </w:r>
      <w:r w:rsidR="00661ED7">
        <w:t>: the haves and the have</w:t>
      </w:r>
      <w:r w:rsidR="00A65C7A">
        <w:t xml:space="preserve"> </w:t>
      </w:r>
      <w:r w:rsidR="00661ED7">
        <w:t>nots</w:t>
      </w:r>
      <w:r w:rsidR="0015794A">
        <w:t xml:space="preserve">. </w:t>
      </w:r>
    </w:p>
    <w:p w14:paraId="31F0A186" w14:textId="77777777" w:rsidR="00041226" w:rsidRPr="00855758" w:rsidRDefault="00041226" w:rsidP="003F7CC8">
      <w:pPr>
        <w:spacing w:line="480" w:lineRule="auto"/>
        <w:jc w:val="center"/>
        <w:rPr>
          <w:b/>
          <w:bCs/>
          <w:color w:val="000000"/>
        </w:rPr>
      </w:pPr>
      <w:r>
        <w:rPr>
          <w:b/>
          <w:bCs/>
          <w:color w:val="000000"/>
        </w:rPr>
        <w:t>Low-Performing Schools and Sources of Poverty</w:t>
      </w:r>
    </w:p>
    <w:p w14:paraId="73A44B2D" w14:textId="1B5C3F67" w:rsidR="00EA5D9F" w:rsidRDefault="00041226" w:rsidP="00EA5D9F">
      <w:pPr>
        <w:spacing w:line="480" w:lineRule="auto"/>
        <w:ind w:firstLine="720"/>
        <w:rPr>
          <w:color w:val="000000"/>
        </w:rPr>
      </w:pPr>
      <w:r>
        <w:rPr>
          <w:color w:val="000000"/>
        </w:rPr>
        <w:t xml:space="preserve">Tables </w:t>
      </w:r>
      <w:r w:rsidR="00D2282C">
        <w:rPr>
          <w:color w:val="000000"/>
        </w:rPr>
        <w:t>2</w:t>
      </w:r>
      <w:r>
        <w:rPr>
          <w:color w:val="000000"/>
        </w:rPr>
        <w:t>-</w:t>
      </w:r>
      <w:r w:rsidR="00D2282C">
        <w:rPr>
          <w:color w:val="000000"/>
        </w:rPr>
        <w:t>6</w:t>
      </w:r>
      <w:r>
        <w:rPr>
          <w:color w:val="000000"/>
        </w:rPr>
        <w:t xml:space="preserve"> show five different types of high-poverty schools in Nebraska. The number of times each school was categorized as </w:t>
      </w:r>
      <w:r w:rsidR="0028367E" w:rsidRPr="00714E2D">
        <w:rPr>
          <w:i/>
          <w:iCs/>
          <w:color w:val="000000"/>
        </w:rPr>
        <w:t>need improvement</w:t>
      </w:r>
      <w:r>
        <w:rPr>
          <w:color w:val="000000"/>
        </w:rPr>
        <w:t xml:space="preserve"> during the </w:t>
      </w:r>
      <w:r w:rsidR="00556C78">
        <w:rPr>
          <w:color w:val="000000"/>
        </w:rPr>
        <w:t xml:space="preserve">five </w:t>
      </w:r>
      <w:proofErr w:type="spellStart"/>
      <w:r w:rsidR="00556C78">
        <w:rPr>
          <w:color w:val="000000"/>
        </w:rPr>
        <w:t>NeP</w:t>
      </w:r>
      <w:r w:rsidR="0028367E">
        <w:rPr>
          <w:color w:val="000000"/>
        </w:rPr>
        <w:t>AS</w:t>
      </w:r>
      <w:proofErr w:type="spellEnd"/>
      <w:r w:rsidR="0028367E">
        <w:rPr>
          <w:color w:val="000000"/>
        </w:rPr>
        <w:t xml:space="preserve"> </w:t>
      </w:r>
      <w:r>
        <w:rPr>
          <w:color w:val="000000"/>
        </w:rPr>
        <w:t>year</w:t>
      </w:r>
      <w:r w:rsidR="00556C78">
        <w:rPr>
          <w:color w:val="000000"/>
        </w:rPr>
        <w:t>s</w:t>
      </w:r>
      <w:r>
        <w:rPr>
          <w:color w:val="000000"/>
        </w:rPr>
        <w:t xml:space="preserve"> </w:t>
      </w:r>
      <w:r w:rsidR="00556C78">
        <w:rPr>
          <w:color w:val="000000"/>
        </w:rPr>
        <w:t>(</w:t>
      </w:r>
      <w:r>
        <w:rPr>
          <w:color w:val="000000"/>
        </w:rPr>
        <w:t>2010-2015</w:t>
      </w:r>
      <w:r w:rsidR="00556C78">
        <w:rPr>
          <w:color w:val="000000"/>
        </w:rPr>
        <w:t>)</w:t>
      </w:r>
      <w:r>
        <w:rPr>
          <w:color w:val="000000"/>
        </w:rPr>
        <w:t xml:space="preserve"> </w:t>
      </w:r>
      <w:r w:rsidR="00556C78">
        <w:rPr>
          <w:color w:val="000000"/>
        </w:rPr>
        <w:t>and</w:t>
      </w:r>
      <w:r>
        <w:rPr>
          <w:color w:val="000000"/>
        </w:rPr>
        <w:t xml:space="preserve"> the three years </w:t>
      </w:r>
      <w:proofErr w:type="spellStart"/>
      <w:r>
        <w:rPr>
          <w:color w:val="000000"/>
        </w:rPr>
        <w:t>AQuESTT</w:t>
      </w:r>
      <w:proofErr w:type="spellEnd"/>
      <w:r>
        <w:rPr>
          <w:color w:val="000000"/>
        </w:rPr>
        <w:t xml:space="preserve"> was assessed (2015-16, 2017-18, and 2018-19) are listed, in addition to FRL rates. Viewing each table, one can see where and how poverty </w:t>
      </w:r>
      <w:r w:rsidR="0028367E">
        <w:rPr>
          <w:color w:val="000000"/>
        </w:rPr>
        <w:t>exist</w:t>
      </w:r>
      <w:r>
        <w:rPr>
          <w:color w:val="000000"/>
        </w:rPr>
        <w:t xml:space="preserve">s in </w:t>
      </w:r>
      <w:r>
        <w:rPr>
          <w:color w:val="000000"/>
        </w:rPr>
        <w:lastRenderedPageBreak/>
        <w:t xml:space="preserve">Nebraska. In most states, poverty can be found in the poorest areas of large cities where many URM live. Tables </w:t>
      </w:r>
      <w:r w:rsidR="00D2282C">
        <w:rPr>
          <w:color w:val="000000"/>
        </w:rPr>
        <w:t>2</w:t>
      </w:r>
      <w:r>
        <w:rPr>
          <w:color w:val="000000"/>
        </w:rPr>
        <w:t xml:space="preserve"> and </w:t>
      </w:r>
      <w:r w:rsidR="00D2282C">
        <w:rPr>
          <w:color w:val="000000"/>
        </w:rPr>
        <w:t>3</w:t>
      </w:r>
      <w:r>
        <w:rPr>
          <w:color w:val="000000"/>
        </w:rPr>
        <w:t xml:space="preserve"> show schools located in poorest parts of the two largest cities in Nebraska – Omaha and Lincoln. Table </w:t>
      </w:r>
      <w:r w:rsidR="00D2282C">
        <w:rPr>
          <w:color w:val="000000"/>
        </w:rPr>
        <w:t>4</w:t>
      </w:r>
      <w:r>
        <w:rPr>
          <w:color w:val="000000"/>
        </w:rPr>
        <w:t xml:space="preserve"> shows schools that are located near meat packing plants in smaller cities. These schools also have large percentages of URM students. Table </w:t>
      </w:r>
      <w:r w:rsidR="00D2282C">
        <w:rPr>
          <w:color w:val="000000"/>
        </w:rPr>
        <w:t>5</w:t>
      </w:r>
      <w:r>
        <w:rPr>
          <w:color w:val="000000"/>
        </w:rPr>
        <w:t xml:space="preserve"> shows schools located on Native American reservations. Finally, lest the reader is led to believe that the only poor performing schools are those with high percentages of Black, Hispanic, or Native American students, Table </w:t>
      </w:r>
      <w:r w:rsidR="00D2282C">
        <w:rPr>
          <w:color w:val="000000"/>
        </w:rPr>
        <w:t>6</w:t>
      </w:r>
      <w:r>
        <w:rPr>
          <w:color w:val="000000"/>
        </w:rPr>
        <w:t xml:space="preserve"> shows schools with relatively low URM percentages (less than 30) and yet perform poorly (classified as need improvement) due to high poverty rates.</w:t>
      </w:r>
    </w:p>
    <w:p w14:paraId="49DD76EC" w14:textId="3FF53FE1" w:rsidR="00EA5D9F" w:rsidRPr="00EA5D9F" w:rsidRDefault="00EA5D9F" w:rsidP="003F7CC8">
      <w:pPr>
        <w:spacing w:line="480" w:lineRule="auto"/>
        <w:jc w:val="center"/>
        <w:rPr>
          <w:color w:val="000000"/>
        </w:rPr>
      </w:pPr>
      <w:r>
        <w:rPr>
          <w:b/>
          <w:bCs/>
          <w:color w:val="000000"/>
        </w:rPr>
        <w:t>Any Evidence of Success Resulting from Transformation Interventions?</w:t>
      </w:r>
    </w:p>
    <w:p w14:paraId="3F8EBFFF" w14:textId="590E7919" w:rsidR="008C089C" w:rsidRDefault="00EA5D9F" w:rsidP="00041226">
      <w:pPr>
        <w:spacing w:line="480" w:lineRule="auto"/>
        <w:ind w:firstLine="720"/>
        <w:rPr>
          <w:color w:val="000000"/>
        </w:rPr>
      </w:pPr>
      <w:r>
        <w:rPr>
          <w:color w:val="000000"/>
        </w:rPr>
        <w:t>We now take a</w:t>
      </w:r>
      <w:r w:rsidR="00041226">
        <w:rPr>
          <w:color w:val="000000"/>
        </w:rPr>
        <w:t xml:space="preserve"> closer look at three schools listed in the tables who have </w:t>
      </w:r>
      <w:r w:rsidR="002B2CAC">
        <w:rPr>
          <w:color w:val="000000"/>
        </w:rPr>
        <w:t xml:space="preserve">not only been classified as need improvement but </w:t>
      </w:r>
      <w:r w:rsidR="00041226">
        <w:rPr>
          <w:color w:val="000000"/>
        </w:rPr>
        <w:t>also received SIGs in the past 10 years</w:t>
      </w:r>
      <w:r>
        <w:rPr>
          <w:color w:val="000000"/>
        </w:rPr>
        <w:t xml:space="preserve"> to</w:t>
      </w:r>
      <w:r w:rsidR="00041226">
        <w:rPr>
          <w:color w:val="000000"/>
        </w:rPr>
        <w:t xml:space="preserve"> determine whether any reform efforts have been successful. </w:t>
      </w:r>
      <w:r w:rsidR="008C089C">
        <w:rPr>
          <w:color w:val="000000"/>
        </w:rPr>
        <w:t>All three schools chose the Transformation model as part of the SIG. Transformation requires (1) replacing the principal along with taking steps to increase teacher and school leader effectiveness, (2) instituting comprehensive instructional reforms, (3) increasing learning time and creating community-oriented schools, and (4) providing operational flexibility and sustained support. Is there any scientific evidence that replacing the principal will increase student performance? Absolutely none.</w:t>
      </w:r>
    </w:p>
    <w:p w14:paraId="43C08059" w14:textId="19EA57FA" w:rsidR="00A77EAC" w:rsidRDefault="00A77EAC" w:rsidP="00A77EAC">
      <w:pPr>
        <w:spacing w:line="480" w:lineRule="auto"/>
        <w:ind w:firstLine="720"/>
      </w:pPr>
      <w:r>
        <w:rPr>
          <w:color w:val="000000"/>
        </w:rPr>
        <w:t xml:space="preserve">Table 7 shows the progress made in terms of Reading and English Language Arts test scores. </w:t>
      </w:r>
      <w:r>
        <w:t>T</w:t>
      </w:r>
      <w:r w:rsidRPr="006F7E57">
        <w:t>he</w:t>
      </w:r>
      <w:r>
        <w:t xml:space="preserve">se </w:t>
      </w:r>
      <w:r w:rsidRPr="006F7E57">
        <w:t xml:space="preserve">scores as reported by the Nebraska Department of Education </w:t>
      </w:r>
      <w:r w:rsidR="00EA6722">
        <w:t xml:space="preserve">(NDE) </w:t>
      </w:r>
      <w:r w:rsidRPr="006F7E57">
        <w:t>are average scores for groups of students and do not represent the scores of any individual students. Nearly every Nebraska classroom and school includes one or more students whose test scores are among top tier of all students</w:t>
      </w:r>
      <w:r>
        <w:t xml:space="preserve"> in the state</w:t>
      </w:r>
      <w:r w:rsidRPr="006F7E57">
        <w:t>. Moreover, every racial, demographic</w:t>
      </w:r>
      <w:r>
        <w:t>,</w:t>
      </w:r>
      <w:r w:rsidRPr="006F7E57">
        <w:t xml:space="preserve"> and socioeconomic group of students includes many students whose test scores are among the top tier of all </w:t>
      </w:r>
      <w:r w:rsidRPr="006F7E57">
        <w:lastRenderedPageBreak/>
        <w:t>Nebraska students. It is not uncommon, for example, for half or more of financially impoverished students to meet or exceed the test score standards set by the Nebraska Department of Education.</w:t>
      </w:r>
      <w:r>
        <w:t xml:space="preserve"> Nonetheless, average test scores for schools are the basis for ratings and </w:t>
      </w:r>
      <w:r w:rsidR="00123104">
        <w:t>n</w:t>
      </w:r>
      <w:r>
        <w:t xml:space="preserve">eed </w:t>
      </w:r>
      <w:r w:rsidR="00123104">
        <w:t>i</w:t>
      </w:r>
      <w:r>
        <w:t>mprovement classifications.</w:t>
      </w:r>
    </w:p>
    <w:p w14:paraId="4E3DC24C" w14:textId="0C3C6ABD" w:rsidR="00CA7C0C" w:rsidRPr="00CA7C0C" w:rsidRDefault="00CA7C0C" w:rsidP="00CA7C0C">
      <w:pPr>
        <w:spacing w:line="480" w:lineRule="auto"/>
        <w:jc w:val="center"/>
        <w:rPr>
          <w:b/>
          <w:bCs/>
        </w:rPr>
      </w:pPr>
      <w:r>
        <w:rPr>
          <w:b/>
          <w:bCs/>
        </w:rPr>
        <w:t xml:space="preserve">Throwing off the Scent: </w:t>
      </w:r>
      <w:r w:rsidR="00F3659C">
        <w:rPr>
          <w:b/>
          <w:bCs/>
        </w:rPr>
        <w:t>Using the Same Test and</w:t>
      </w:r>
      <w:r>
        <w:rPr>
          <w:b/>
          <w:bCs/>
        </w:rPr>
        <w:t xml:space="preserve"> Chang</w:t>
      </w:r>
      <w:r w:rsidR="00F3659C">
        <w:rPr>
          <w:b/>
          <w:bCs/>
        </w:rPr>
        <w:t>ing</w:t>
      </w:r>
      <w:r>
        <w:rPr>
          <w:b/>
          <w:bCs/>
        </w:rPr>
        <w:t xml:space="preserve"> t</w:t>
      </w:r>
      <w:r w:rsidR="00F3659C">
        <w:rPr>
          <w:b/>
          <w:bCs/>
        </w:rPr>
        <w:t>he</w:t>
      </w:r>
      <w:r>
        <w:rPr>
          <w:b/>
          <w:bCs/>
        </w:rPr>
        <w:t xml:space="preserve"> Test</w:t>
      </w:r>
    </w:p>
    <w:p w14:paraId="548AE9CE" w14:textId="221C7B66" w:rsidR="003E3129" w:rsidRDefault="00244E2A" w:rsidP="00A77EAC">
      <w:pPr>
        <w:spacing w:line="480" w:lineRule="auto"/>
        <w:ind w:firstLine="720"/>
      </w:pPr>
      <w:r>
        <w:t>When simply examining test scores to determine whether educational reform efforts are successful or unsuccessful, several pitfalls can occur. For example, w</w:t>
      </w:r>
      <w:r w:rsidR="006A00CB">
        <w:t xml:space="preserve">hen a new test is introduced, average scores for most schools typically increase the first few years – regardless of any supposed interventions. This can occur for numerous reasons, such as teachers begin teaching to the test once they have seen it, students know what types of content and items to expect, and item drift (knowledge of </w:t>
      </w:r>
      <w:r w:rsidR="003E3129">
        <w:t>some</w:t>
      </w:r>
      <w:r w:rsidR="006A00CB">
        <w:t xml:space="preserve"> items is shared with future test takers). Thus, the increases shown in Table 7 for the first few years may simply reflect this very common experience with new tests. In fact, if we look at </w:t>
      </w:r>
      <w:r w:rsidR="006A00CB" w:rsidRPr="006A00CB">
        <w:rPr>
          <w:i/>
          <w:iCs/>
        </w:rPr>
        <w:t>every</w:t>
      </w:r>
      <w:r w:rsidR="006A00CB">
        <w:t xml:space="preserve"> school in the state, most have the same pattern of increases in average scores the first few years. </w:t>
      </w:r>
      <w:r w:rsidR="00F3659C">
        <w:t>Thus, if a state simply keeps using the same test, it will appear that improvements are made in terms of increasing scores.</w:t>
      </w:r>
    </w:p>
    <w:p w14:paraId="3E3C2635" w14:textId="058BC232" w:rsidR="006A00CB" w:rsidRDefault="00244E2A" w:rsidP="00A77EAC">
      <w:pPr>
        <w:spacing w:line="480" w:lineRule="auto"/>
        <w:ind w:firstLine="720"/>
      </w:pPr>
      <w:r>
        <w:t>Additionally, changes were made to</w:t>
      </w:r>
      <w:r w:rsidR="003E3129">
        <w:t xml:space="preserve"> the state testing in 201</w:t>
      </w:r>
      <w:r w:rsidR="00E3535F">
        <w:t>7</w:t>
      </w:r>
      <w:r w:rsidR="00841E88">
        <w:t xml:space="preserve"> and 2018</w:t>
      </w:r>
      <w:r>
        <w:t xml:space="preserve"> that may be misleading in terms of changing test scores</w:t>
      </w:r>
      <w:r w:rsidR="003E3129">
        <w:t xml:space="preserve">. </w:t>
      </w:r>
      <w:r w:rsidR="005C1C5E">
        <w:t>The</w:t>
      </w:r>
      <w:r w:rsidR="00DA4553">
        <w:t xml:space="preserve"> ELA test </w:t>
      </w:r>
      <w:r w:rsidR="005C1C5E">
        <w:t>was made more difficult in 2017, as was the math test</w:t>
      </w:r>
      <w:r w:rsidR="00DA4553">
        <w:t xml:space="preserve"> in 2018. C</w:t>
      </w:r>
      <w:r w:rsidR="003E3129">
        <w:t xml:space="preserve">omputer-adaptive testing was </w:t>
      </w:r>
      <w:r w:rsidR="00635436">
        <w:t xml:space="preserve">also </w:t>
      </w:r>
      <w:r w:rsidR="003E3129">
        <w:t>introduced</w:t>
      </w:r>
      <w:r w:rsidR="00841E88">
        <w:t xml:space="preserve"> in 2018</w:t>
      </w:r>
      <w:r w:rsidR="003E3129">
        <w:t xml:space="preserve">. </w:t>
      </w:r>
      <w:r w:rsidR="00635436">
        <w:t>Each of these changes</w:t>
      </w:r>
      <w:r w:rsidR="003E3129">
        <w:t xml:space="preserve"> had the effect of decreasing scores statewide. </w:t>
      </w:r>
      <w:r w:rsidR="00635436">
        <w:t>T</w:t>
      </w:r>
      <w:r w:rsidR="003E3129">
        <w:t xml:space="preserve">he reduction was </w:t>
      </w:r>
      <w:r w:rsidR="00635436">
        <w:t xml:space="preserve">even </w:t>
      </w:r>
      <w:r w:rsidR="003E3129">
        <w:t xml:space="preserve">greater for </w:t>
      </w:r>
      <w:r w:rsidR="00635436">
        <w:t xml:space="preserve">students who typically score </w:t>
      </w:r>
      <w:r w:rsidR="00E3535F">
        <w:t>high</w:t>
      </w:r>
      <w:r w:rsidR="00635436">
        <w:t>er on the</w:t>
      </w:r>
      <w:r w:rsidR="003E3129">
        <w:t xml:space="preserve"> </w:t>
      </w:r>
      <w:r w:rsidR="00E3535F">
        <w:t>tests</w:t>
      </w:r>
      <w:r w:rsidR="003E3129">
        <w:t xml:space="preserve">. </w:t>
      </w:r>
      <w:r w:rsidR="00E3535F">
        <w:t xml:space="preserve">Computer adaptive testing made it more difficult for them to demonstrate mastery. </w:t>
      </w:r>
      <w:r w:rsidR="00635436">
        <w:t xml:space="preserve">Thus, while it may appear that achievement gaps decreased slightly, this was not due to any improvements for poorer students. </w:t>
      </w:r>
      <w:r w:rsidR="006A00CB">
        <w:t xml:space="preserve">In assessing whether the </w:t>
      </w:r>
      <w:r w:rsidR="006A00CB">
        <w:lastRenderedPageBreak/>
        <w:t xml:space="preserve">Transformation model implemented at the three </w:t>
      </w:r>
      <w:r w:rsidR="00635436">
        <w:t xml:space="preserve">SIG </w:t>
      </w:r>
      <w:r w:rsidR="006A00CB">
        <w:t>schools led to improvements, we need to keep this in mind.</w:t>
      </w:r>
    </w:p>
    <w:p w14:paraId="1A7F41E9" w14:textId="0A71219B" w:rsidR="00041226" w:rsidRDefault="00041226" w:rsidP="00A77EAC">
      <w:pPr>
        <w:spacing w:line="480" w:lineRule="auto"/>
        <w:ind w:firstLine="720"/>
        <w:rPr>
          <w:color w:val="000000"/>
        </w:rPr>
      </w:pPr>
      <w:r>
        <w:rPr>
          <w:color w:val="000000"/>
        </w:rPr>
        <w:t xml:space="preserve">We begin with Omaha Nation High School. Located in the town of Macy (pop. ~1,000), </w:t>
      </w:r>
      <w:r w:rsidR="00F35638">
        <w:rPr>
          <w:color w:val="000000"/>
        </w:rPr>
        <w:t xml:space="preserve">on the Omaha Reservation, </w:t>
      </w:r>
      <w:r>
        <w:rPr>
          <w:color w:val="000000"/>
        </w:rPr>
        <w:t xml:space="preserve">in the northeast part of the state, the school has been categorized as needing improvement </w:t>
      </w:r>
      <w:r w:rsidRPr="00917C7F">
        <w:rPr>
          <w:i/>
          <w:iCs/>
          <w:color w:val="000000"/>
        </w:rPr>
        <w:t>all eight years</w:t>
      </w:r>
      <w:r>
        <w:rPr>
          <w:color w:val="000000"/>
        </w:rPr>
        <w:t xml:space="preserve"> the rankings have occurred. Absentee rates are near 75%. That means, on average, students are missing over three days out of five per week. The best attendance day by far? Mondays. Teachers report that children show up on Mondays simply because most have not had a meal since Friday. </w:t>
      </w:r>
      <w:r w:rsidR="00755D16">
        <w:rPr>
          <w:color w:val="000000"/>
        </w:rPr>
        <w:t>In the community, u</w:t>
      </w:r>
      <w:r w:rsidR="00F35638">
        <w:rPr>
          <w:color w:val="000000"/>
        </w:rPr>
        <w:t xml:space="preserve">nemployment is high. </w:t>
      </w:r>
      <w:r>
        <w:rPr>
          <w:color w:val="000000"/>
        </w:rPr>
        <w:t xml:space="preserve">Alcoholism is rampant on the reservation. One cannot imagine the home life for the students. </w:t>
      </w:r>
      <w:r w:rsidR="00A77EAC">
        <w:rPr>
          <w:color w:val="000000"/>
        </w:rPr>
        <w:t>Omaha Nation High School was given almost $700K</w:t>
      </w:r>
      <w:r w:rsidR="00F35638">
        <w:rPr>
          <w:color w:val="000000"/>
        </w:rPr>
        <w:t xml:space="preserve"> for the SIG</w:t>
      </w:r>
      <w:r w:rsidR="00A77EAC">
        <w:rPr>
          <w:color w:val="000000"/>
        </w:rPr>
        <w:t xml:space="preserve">. Looking at Table 7, </w:t>
      </w:r>
      <w:r w:rsidR="006A00CB">
        <w:rPr>
          <w:color w:val="000000"/>
        </w:rPr>
        <w:t xml:space="preserve">as previously mentioned, </w:t>
      </w:r>
      <w:r w:rsidR="00A77EAC">
        <w:rPr>
          <w:color w:val="000000"/>
        </w:rPr>
        <w:t>i</w:t>
      </w:r>
      <w:r>
        <w:rPr>
          <w:color w:val="000000"/>
        </w:rPr>
        <w:t xml:space="preserve">t appears that </w:t>
      </w:r>
      <w:r w:rsidR="008C089C">
        <w:rPr>
          <w:color w:val="000000"/>
        </w:rPr>
        <w:t>scores</w:t>
      </w:r>
      <w:r w:rsidR="006A00CB">
        <w:rPr>
          <w:color w:val="000000"/>
        </w:rPr>
        <w:t xml:space="preserve"> </w:t>
      </w:r>
      <w:r>
        <w:rPr>
          <w:color w:val="000000"/>
        </w:rPr>
        <w:t>improved for the first few years</w:t>
      </w:r>
      <w:r w:rsidR="00EA1DF5">
        <w:rPr>
          <w:color w:val="000000"/>
        </w:rPr>
        <w:t xml:space="preserve"> but were </w:t>
      </w:r>
      <w:r w:rsidR="00D2282C">
        <w:rPr>
          <w:color w:val="000000"/>
        </w:rPr>
        <w:t>not sustained</w:t>
      </w:r>
      <w:r>
        <w:rPr>
          <w:color w:val="000000"/>
        </w:rPr>
        <w:t xml:space="preserve"> and scores dipped back near where they were prior to the intervention. </w:t>
      </w:r>
      <w:r w:rsidR="00755D16">
        <w:rPr>
          <w:color w:val="000000"/>
        </w:rPr>
        <w:t>This trend followed the pattern for ALL schools in the state and, t</w:t>
      </w:r>
      <w:r w:rsidR="00EA1DF5">
        <w:rPr>
          <w:color w:val="000000"/>
        </w:rPr>
        <w:t xml:space="preserve">hus, there is no </w:t>
      </w:r>
      <w:r w:rsidR="00755D16">
        <w:rPr>
          <w:color w:val="000000"/>
        </w:rPr>
        <w:t>evidence that</w:t>
      </w:r>
      <w:r w:rsidR="00EA1DF5">
        <w:rPr>
          <w:color w:val="000000"/>
        </w:rPr>
        <w:t xml:space="preserve"> the SIG money</w:t>
      </w:r>
      <w:r w:rsidR="00755D16">
        <w:rPr>
          <w:color w:val="000000"/>
        </w:rPr>
        <w:t xml:space="preserve"> led to improvements</w:t>
      </w:r>
      <w:r w:rsidR="00EA1DF5">
        <w:rPr>
          <w:color w:val="000000"/>
        </w:rPr>
        <w:t>.</w:t>
      </w:r>
    </w:p>
    <w:p w14:paraId="1F103E32" w14:textId="4B047365" w:rsidR="00041226" w:rsidRDefault="00041226" w:rsidP="00041226">
      <w:pPr>
        <w:spacing w:line="480" w:lineRule="auto"/>
        <w:ind w:firstLine="720"/>
        <w:rPr>
          <w:color w:val="000000"/>
        </w:rPr>
      </w:pPr>
      <w:r>
        <w:rPr>
          <w:color w:val="000000"/>
        </w:rPr>
        <w:t>Next, we examine Madison Middle School, located in Madison (pop. ~2,500) which, like Macy, is in the northeast part of the state</w:t>
      </w:r>
      <w:r w:rsidR="00686EA3">
        <w:rPr>
          <w:color w:val="000000"/>
        </w:rPr>
        <w:t>, but not on a reservation</w:t>
      </w:r>
      <w:r>
        <w:rPr>
          <w:color w:val="000000"/>
        </w:rPr>
        <w:t xml:space="preserve">. The town’s major employer is Tyson Fresh Meats which employs about 1,200 workers. Hispanic student enrollment is about 80%. Madison ranks in the bottom 5% of all middle schools in the state in terms of math and reading proficiency. Table </w:t>
      </w:r>
      <w:r w:rsidR="00D2282C">
        <w:rPr>
          <w:color w:val="000000"/>
        </w:rPr>
        <w:t>7</w:t>
      </w:r>
      <w:r>
        <w:rPr>
          <w:color w:val="000000"/>
        </w:rPr>
        <w:t xml:space="preserve"> shows the progress made by the $1.7 million Transformation intervention. Nothing.</w:t>
      </w:r>
    </w:p>
    <w:p w14:paraId="4D2EC0A1" w14:textId="673C79DD" w:rsidR="00041226" w:rsidRDefault="00041226" w:rsidP="00041226">
      <w:pPr>
        <w:spacing w:line="480" w:lineRule="auto"/>
        <w:ind w:firstLine="720"/>
        <w:rPr>
          <w:color w:val="000000"/>
        </w:rPr>
      </w:pPr>
      <w:r>
        <w:rPr>
          <w:color w:val="000000"/>
        </w:rPr>
        <w:t xml:space="preserve">Finally, we </w:t>
      </w:r>
      <w:r w:rsidR="00686EA3">
        <w:rPr>
          <w:color w:val="000000"/>
        </w:rPr>
        <w:t>have</w:t>
      </w:r>
      <w:r>
        <w:rPr>
          <w:color w:val="000000"/>
        </w:rPr>
        <w:t xml:space="preserve"> </w:t>
      </w:r>
      <w:r>
        <w:t xml:space="preserve">Crawford Elementary School, located in Crawford (pop. ~1,000) in the northwest corner of the state. </w:t>
      </w:r>
      <w:r w:rsidR="00504880">
        <w:t>Unlike Omaha Nation and Madison, t</w:t>
      </w:r>
      <w:r>
        <w:t xml:space="preserve">he school has only 7% minority student enrollment. Test scores are below average, but nothing near the performance of </w:t>
      </w:r>
      <w:r>
        <w:lastRenderedPageBreak/>
        <w:t xml:space="preserve">Omaha Nation or Madison. Why was this school given over $1.2 million as part of a SIG Transformation in 2014? More importantly, was there any improvement? Table </w:t>
      </w:r>
      <w:r w:rsidR="00D2282C">
        <w:t>7</w:t>
      </w:r>
      <w:r>
        <w:t xml:space="preserve"> reveals none.</w:t>
      </w:r>
    </w:p>
    <w:p w14:paraId="61C297D4" w14:textId="4154115E" w:rsidR="00225C8A" w:rsidRPr="001144D9" w:rsidRDefault="00041226" w:rsidP="001144D9">
      <w:pPr>
        <w:spacing w:line="480" w:lineRule="auto"/>
        <w:ind w:firstLine="720"/>
        <w:rPr>
          <w:color w:val="000000"/>
        </w:rPr>
      </w:pPr>
      <w:r>
        <w:rPr>
          <w:color w:val="000000"/>
        </w:rPr>
        <w:t xml:space="preserve">In terms of money spent, for all 26 </w:t>
      </w:r>
      <w:r w:rsidR="00504880">
        <w:rPr>
          <w:color w:val="000000"/>
        </w:rPr>
        <w:t xml:space="preserve">Nebraska </w:t>
      </w:r>
      <w:r>
        <w:rPr>
          <w:color w:val="000000"/>
        </w:rPr>
        <w:t>SIG recipients since 2010, the total amount of funding was $34,151,799. Yes, close to 35 million dollars has been spent just in the state of Nebraska</w:t>
      </w:r>
      <w:r w:rsidR="00504880">
        <w:rPr>
          <w:color w:val="000000"/>
        </w:rPr>
        <w:t xml:space="preserve"> to “transform” low-performing schools</w:t>
      </w:r>
      <w:r>
        <w:rPr>
          <w:color w:val="000000"/>
        </w:rPr>
        <w:t xml:space="preserve">. An evaluation completed in 2015, halfway through, concluded </w:t>
      </w:r>
      <w:r w:rsidR="00504880">
        <w:rPr>
          <w:color w:val="000000"/>
        </w:rPr>
        <w:t xml:space="preserve">what </w:t>
      </w:r>
      <w:r w:rsidR="00EA2901">
        <w:rPr>
          <w:color w:val="000000"/>
        </w:rPr>
        <w:t>our current data</w:t>
      </w:r>
      <w:r w:rsidR="00504880">
        <w:rPr>
          <w:color w:val="000000"/>
        </w:rPr>
        <w:t xml:space="preserve"> reveal</w:t>
      </w:r>
      <w:r>
        <w:rPr>
          <w:color w:val="000000"/>
        </w:rPr>
        <w:t>: the SIGs did not lead to sustained improvements (Welch et al., 2015).</w:t>
      </w:r>
      <w:r w:rsidR="001144D9">
        <w:rPr>
          <w:color w:val="000000"/>
        </w:rPr>
        <w:t xml:space="preserve"> </w:t>
      </w:r>
    </w:p>
    <w:p w14:paraId="7B1AA113" w14:textId="5C4831B0" w:rsidR="00406571" w:rsidRDefault="00D21A12" w:rsidP="003F7CC8">
      <w:pPr>
        <w:spacing w:line="480" w:lineRule="auto"/>
        <w:jc w:val="center"/>
        <w:rPr>
          <w:b/>
          <w:bCs/>
        </w:rPr>
      </w:pPr>
      <w:r>
        <w:rPr>
          <w:b/>
          <w:bCs/>
        </w:rPr>
        <w:t>Yet M</w:t>
      </w:r>
      <w:r w:rsidR="00406571">
        <w:rPr>
          <w:b/>
          <w:bCs/>
        </w:rPr>
        <w:t>ore Evidence of No Evidence</w:t>
      </w:r>
    </w:p>
    <w:p w14:paraId="17540B02" w14:textId="6E584B35" w:rsidR="008856DE" w:rsidRDefault="00406571" w:rsidP="00CA5D71">
      <w:pPr>
        <w:spacing w:line="480" w:lineRule="auto"/>
        <w:ind w:firstLine="720"/>
      </w:pPr>
      <w:r>
        <w:t xml:space="preserve">Failure to reduce achievement gaps or produce even modest gains in test scores can be found in other high poverty schools who were not </w:t>
      </w:r>
      <w:r w:rsidR="00D21A12">
        <w:t xml:space="preserve">as </w:t>
      </w:r>
      <w:r>
        <w:t>fortunate to qualify for federal money</w:t>
      </w:r>
      <w:r w:rsidR="00D21A12">
        <w:t xml:space="preserve"> as part of a SIG</w:t>
      </w:r>
      <w:r>
        <w:t>. Table 8 shows</w:t>
      </w:r>
      <w:r w:rsidR="006C2E46" w:rsidRPr="006C2E46">
        <w:t xml:space="preserve"> </w:t>
      </w:r>
      <w:r w:rsidR="00E52D48">
        <w:t>eight</w:t>
      </w:r>
      <w:r w:rsidR="006C2E46" w:rsidRPr="006C2E46">
        <w:t xml:space="preserve"> </w:t>
      </w:r>
      <w:r w:rsidR="00E52D48">
        <w:t>urban</w:t>
      </w:r>
      <w:r w:rsidR="006C2E46" w:rsidRPr="006C2E46">
        <w:t>, high FRL elementary schools</w:t>
      </w:r>
      <w:r w:rsidR="00F0428C">
        <w:t xml:space="preserve"> broken down by race and FRL</w:t>
      </w:r>
      <w:r w:rsidR="006C2E46" w:rsidRPr="006C2E46">
        <w:t xml:space="preserve">. </w:t>
      </w:r>
      <w:r>
        <w:t xml:space="preserve">Table 9 shows their average </w:t>
      </w:r>
      <w:r w:rsidRPr="00F96E00">
        <w:t xml:space="preserve">test scores over </w:t>
      </w:r>
      <w:r w:rsidR="00D21A12">
        <w:t>a</w:t>
      </w:r>
      <w:r w:rsidRPr="00F96E00">
        <w:t xml:space="preserve"> 10</w:t>
      </w:r>
      <w:r w:rsidR="00D21A12">
        <w:t>-</w:t>
      </w:r>
      <w:r w:rsidRPr="00F96E00">
        <w:t>year</w:t>
      </w:r>
      <w:r w:rsidR="00D21A12">
        <w:t xml:space="preserve"> period</w:t>
      </w:r>
      <w:r w:rsidRPr="00F96E00">
        <w:t xml:space="preserve"> for </w:t>
      </w:r>
      <w:r w:rsidR="00D21A12">
        <w:t>R</w:t>
      </w:r>
      <w:r w:rsidRPr="00F96E00">
        <w:t xml:space="preserve">eading </w:t>
      </w:r>
      <w:r w:rsidR="00D21A12">
        <w:t>and</w:t>
      </w:r>
      <w:r w:rsidRPr="00F96E00">
        <w:t xml:space="preserve"> ELA</w:t>
      </w:r>
      <w:r>
        <w:t xml:space="preserve">. </w:t>
      </w:r>
      <w:r w:rsidR="00CA5D71">
        <w:t>Here we again see that federal demand</w:t>
      </w:r>
      <w:r w:rsidR="00DD62B0">
        <w:t>s</w:t>
      </w:r>
      <w:r w:rsidR="00CA5D71">
        <w:t xml:space="preserve"> that Nebraska threaten teachers</w:t>
      </w:r>
      <w:r w:rsidR="00DD62B0">
        <w:t>’</w:t>
      </w:r>
      <w:r w:rsidR="00CA5D71">
        <w:t xml:space="preserve"> and administrators</w:t>
      </w:r>
      <w:r w:rsidR="00DD62B0">
        <w:t>’</w:t>
      </w:r>
      <w:r w:rsidR="00CA5D71">
        <w:t xml:space="preserve"> careers under NCLB and later shame them under ESSA ha</w:t>
      </w:r>
      <w:r w:rsidR="00DD62B0">
        <w:t>ve</w:t>
      </w:r>
      <w:r w:rsidR="00CA5D71">
        <w:t xml:space="preserve"> accomplished nothing. </w:t>
      </w:r>
      <w:r w:rsidR="00774C52">
        <w:t>The one thread that link</w:t>
      </w:r>
      <w:r w:rsidR="00E52D48">
        <w:t>s</w:t>
      </w:r>
      <w:r w:rsidR="00774C52">
        <w:t xml:space="preserve"> these children is poverty</w:t>
      </w:r>
      <w:r w:rsidR="00A94308">
        <w:t>.</w:t>
      </w:r>
      <w:r w:rsidR="00DD62B0">
        <w:t xml:space="preserve"> </w:t>
      </w:r>
      <w:r w:rsidR="00711B32">
        <w:t>Until poverty is addressed, t</w:t>
      </w:r>
      <w:r w:rsidR="00DD62B0">
        <w:t>he emperor remains naked.</w:t>
      </w:r>
      <w:r w:rsidR="00BE416E">
        <w:t xml:space="preserve"> Tables 10 and 11 show an example of a very low FRL (1%) school. The pattern of test scores is the same as the previous schools: modest gains through 2016 and then decreases.</w:t>
      </w:r>
      <w:r w:rsidR="003716E4">
        <w:t xml:space="preserve"> Achievement gaps remain.</w:t>
      </w:r>
    </w:p>
    <w:p w14:paraId="6E509C2E" w14:textId="042AFCD8" w:rsidR="00AF58D4" w:rsidRPr="007C06D7" w:rsidRDefault="00AF58D4" w:rsidP="007C06D7">
      <w:pPr>
        <w:spacing w:line="480" w:lineRule="auto"/>
        <w:jc w:val="center"/>
      </w:pPr>
      <w:r w:rsidRPr="007C06D7">
        <w:rPr>
          <w:b/>
          <w:bCs/>
        </w:rPr>
        <w:t>Conclusions</w:t>
      </w:r>
    </w:p>
    <w:p w14:paraId="1E5A6D8E" w14:textId="03D0C83A" w:rsidR="00AF58D4" w:rsidRDefault="003F7CC8" w:rsidP="00D6522C">
      <w:pPr>
        <w:spacing w:line="480" w:lineRule="auto"/>
        <w:ind w:firstLine="720"/>
      </w:pPr>
      <w:r>
        <w:t>A</w:t>
      </w:r>
      <w:r w:rsidRPr="006F7E57">
        <w:t xml:space="preserve">fter </w:t>
      </w:r>
      <w:r>
        <w:t xml:space="preserve">over </w:t>
      </w:r>
      <w:r w:rsidRPr="006F7E57">
        <w:t>a half century of ESEA federal money, 19 years of NCLB threats to teacher</w:t>
      </w:r>
      <w:r>
        <w:t>s and principals,</w:t>
      </w:r>
      <w:r w:rsidRPr="006F7E57">
        <w:t xml:space="preserve"> and </w:t>
      </w:r>
      <w:r>
        <w:t>five</w:t>
      </w:r>
      <w:r w:rsidRPr="006F7E57">
        <w:t xml:space="preserve"> years of ESSA trying to shame school districts into </w:t>
      </w:r>
      <w:r>
        <w:t>closing the achievement gap</w:t>
      </w:r>
      <w:r w:rsidRPr="006F7E57">
        <w:t xml:space="preserve"> for all races and family income levels</w:t>
      </w:r>
      <w:r>
        <w:t>,</w:t>
      </w:r>
      <w:r w:rsidRPr="006F7E57">
        <w:t xml:space="preserve"> we still see two worlds in education in Nebraska</w:t>
      </w:r>
      <w:r>
        <w:t>: affluent mainly white students and everyone else</w:t>
      </w:r>
      <w:r w:rsidRPr="006F7E57">
        <w:t>.</w:t>
      </w:r>
      <w:r>
        <w:t xml:space="preserve"> </w:t>
      </w:r>
      <w:r w:rsidR="00AF58D4">
        <w:t xml:space="preserve">W. Edwards Deming, the guru who set the standard for quality in business throughout the world, made heavy reference to </w:t>
      </w:r>
      <w:r w:rsidR="00AF58D4">
        <w:lastRenderedPageBreak/>
        <w:t>“management by the numbers,” where manager</w:t>
      </w:r>
      <w:r w:rsidR="007C06D7">
        <w:t>s</w:t>
      </w:r>
      <w:r w:rsidR="00AF58D4">
        <w:t xml:space="preserve"> sit in </w:t>
      </w:r>
      <w:r w:rsidR="007C06D7">
        <w:t>their</w:t>
      </w:r>
      <w:r w:rsidR="00AF58D4">
        <w:t xml:space="preserve"> office</w:t>
      </w:r>
      <w:r w:rsidR="007C06D7">
        <w:t>s</w:t>
      </w:r>
      <w:r w:rsidR="00AF58D4">
        <w:t xml:space="preserve"> and make decisions based on numbers from computer sheets and ignore what is going on outside </w:t>
      </w:r>
      <w:r w:rsidR="007C06D7">
        <w:t>the</w:t>
      </w:r>
      <w:r w:rsidR="00AF58D4">
        <w:t xml:space="preserve"> office (item</w:t>
      </w:r>
      <w:r>
        <w:t>s</w:t>
      </w:r>
      <w:r w:rsidR="00AF58D4">
        <w:t xml:space="preserve"> </w:t>
      </w:r>
      <w:r>
        <w:t>three</w:t>
      </w:r>
      <w:r w:rsidR="00AF58D4">
        <w:t xml:space="preserve"> and </w:t>
      </w:r>
      <w:r>
        <w:t>five</w:t>
      </w:r>
      <w:r w:rsidR="00AF58D4">
        <w:t xml:space="preserve"> of his </w:t>
      </w:r>
      <w:r>
        <w:t>seven</w:t>
      </w:r>
      <w:r w:rsidR="00AF58D4">
        <w:t xml:space="preserve"> deadly diseases)</w:t>
      </w:r>
      <w:r>
        <w:t>.</w:t>
      </w:r>
      <w:r w:rsidR="006846E7">
        <w:t xml:space="preserve"> </w:t>
      </w:r>
      <w:r w:rsidR="00B43DC1">
        <w:t xml:space="preserve">Categorizing schools </w:t>
      </w:r>
      <w:r w:rsidR="00866A50">
        <w:t xml:space="preserve">as excellent or in need of improvement simply </w:t>
      </w:r>
      <w:r w:rsidR="00B43DC1">
        <w:t xml:space="preserve">based on </w:t>
      </w:r>
      <w:proofErr w:type="spellStart"/>
      <w:r w:rsidR="00B43DC1">
        <w:t>NePAS</w:t>
      </w:r>
      <w:proofErr w:type="spellEnd"/>
      <w:r w:rsidR="00AF58D4">
        <w:t xml:space="preserve"> and </w:t>
      </w:r>
      <w:proofErr w:type="spellStart"/>
      <w:r w:rsidR="00AF58D4">
        <w:t>AQuESTT</w:t>
      </w:r>
      <w:proofErr w:type="spellEnd"/>
      <w:r w:rsidR="00AF58D4">
        <w:t xml:space="preserve"> </w:t>
      </w:r>
      <w:r w:rsidR="00EA6722">
        <w:t xml:space="preserve">formulas </w:t>
      </w:r>
      <w:r w:rsidR="00AF58D4">
        <w:t xml:space="preserve">are examples of this </w:t>
      </w:r>
      <w:r w:rsidR="00866A50">
        <w:t>boneheaded style of management</w:t>
      </w:r>
      <w:r w:rsidR="00B43DC1">
        <w:t xml:space="preserve">. </w:t>
      </w:r>
      <w:r w:rsidR="00866A50">
        <w:t>T</w:t>
      </w:r>
      <w:r w:rsidR="00B43DC1">
        <w:t xml:space="preserve">eacher, principal, and school accountability </w:t>
      </w:r>
      <w:r w:rsidR="00866A50">
        <w:t xml:space="preserve">based on test scores </w:t>
      </w:r>
      <w:r w:rsidR="00B43DC1">
        <w:t>have been ordered</w:t>
      </w:r>
      <w:r w:rsidR="00AF58D4">
        <w:t xml:space="preserve"> by NCLB and ESSA </w:t>
      </w:r>
      <w:r w:rsidR="00B43DC1">
        <w:t>and designed</w:t>
      </w:r>
      <w:r w:rsidR="00AF58D4">
        <w:t xml:space="preserve"> to threaten or shame educators into doing their job better </w:t>
      </w:r>
      <w:r w:rsidR="00B43DC1">
        <w:t>to close</w:t>
      </w:r>
      <w:r w:rsidR="00AF58D4">
        <w:t xml:space="preserve"> the achievement gap. This </w:t>
      </w:r>
      <w:r w:rsidR="006C627B">
        <w:t>forces</w:t>
      </w:r>
      <w:r w:rsidR="00AF58D4">
        <w:t xml:space="preserve"> </w:t>
      </w:r>
      <w:r w:rsidR="00D6522C">
        <w:t>NDE</w:t>
      </w:r>
      <w:r w:rsidR="00AF58D4">
        <w:t xml:space="preserve"> to place sometimes slanderous monikers on schools </w:t>
      </w:r>
      <w:r w:rsidR="00D0529F">
        <w:t>that have</w:t>
      </w:r>
      <w:r w:rsidR="00AF58D4">
        <w:t xml:space="preserve"> dedicated and hard-working educators</w:t>
      </w:r>
      <w:r w:rsidR="00D6522C">
        <w:t>.</w:t>
      </w:r>
      <w:r w:rsidR="00AF58D4">
        <w:t xml:space="preserve"> </w:t>
      </w:r>
      <w:r w:rsidR="00D6522C">
        <w:t>I</w:t>
      </w:r>
      <w:r w:rsidR="00AF58D4">
        <w:t>t also misleads many parents about the quality of their schools</w:t>
      </w:r>
      <w:r w:rsidR="00D6522C">
        <w:t>.</w:t>
      </w:r>
      <w:r w:rsidR="00EA6722">
        <w:t xml:space="preserve"> There are no such things as “good” and “bad” schools. There </w:t>
      </w:r>
      <w:r w:rsidR="00176593">
        <w:t>are</w:t>
      </w:r>
      <w:r w:rsidR="00EA6722">
        <w:t xml:space="preserve"> only students and how those students perform on tests has very little to do with the schools.</w:t>
      </w:r>
    </w:p>
    <w:p w14:paraId="30879D81" w14:textId="694ED02D" w:rsidR="001676E8" w:rsidRDefault="00D06CAC" w:rsidP="00D06CAC">
      <w:pPr>
        <w:spacing w:line="480" w:lineRule="auto"/>
        <w:ind w:firstLine="720"/>
      </w:pPr>
      <w:r>
        <w:t xml:space="preserve">Pitting schools against each other to produce rankings makes even less sense. </w:t>
      </w:r>
      <w:r w:rsidR="00AF58D4">
        <w:t xml:space="preserve">Numbers from schools in the Santee Native American reservation likely have very different meanings than </w:t>
      </w:r>
      <w:r>
        <w:t>those</w:t>
      </w:r>
      <w:r w:rsidR="00AF58D4">
        <w:t xml:space="preserve"> from Elkhorn school districts</w:t>
      </w:r>
      <w:r>
        <w:t xml:space="preserve"> (highly affluent),</w:t>
      </w:r>
      <w:r w:rsidR="00AF58D4">
        <w:t xml:space="preserve"> Grand Island with high immigrant populations</w:t>
      </w:r>
      <w:r>
        <w:t>,</w:t>
      </w:r>
      <w:r w:rsidR="00AF58D4">
        <w:t xml:space="preserve"> Omaha Public Schools with high inner-city population</w:t>
      </w:r>
      <w:r>
        <w:t>s,</w:t>
      </w:r>
      <w:r w:rsidR="00AF58D4">
        <w:t xml:space="preserve"> Saint Paul schools with a </w:t>
      </w:r>
      <w:r w:rsidR="00623AB7">
        <w:t>mostly</w:t>
      </w:r>
      <w:r w:rsidR="00AF58D4">
        <w:t xml:space="preserve"> rural population</w:t>
      </w:r>
      <w:r>
        <w:t>,</w:t>
      </w:r>
      <w:r w:rsidR="00AF58D4">
        <w:t xml:space="preserve"> or McPherson County with 61 students in the </w:t>
      </w:r>
      <w:r w:rsidR="00D6522C">
        <w:t>entire</w:t>
      </w:r>
      <w:r w:rsidR="00AF58D4">
        <w:t xml:space="preserve"> district. Management by the numbers is certain to be </w:t>
      </w:r>
      <w:r w:rsidR="006C627B">
        <w:t>counterproductive</w:t>
      </w:r>
      <w:r w:rsidR="00AF58D4">
        <w:t xml:space="preserve"> for students and teachers alike in an </w:t>
      </w:r>
      <w:r w:rsidR="006C627B">
        <w:t>endeavor</w:t>
      </w:r>
      <w:r w:rsidR="00AF58D4">
        <w:t xml:space="preserve"> as complex as education. It simply leads from a system like PLAS with </w:t>
      </w:r>
      <w:r>
        <w:t>two</w:t>
      </w:r>
      <w:r w:rsidR="00AF58D4">
        <w:t xml:space="preserve"> criteria to one like </w:t>
      </w:r>
      <w:proofErr w:type="spellStart"/>
      <w:r w:rsidR="00AF58D4">
        <w:t>AQuESTT</w:t>
      </w:r>
      <w:proofErr w:type="spellEnd"/>
      <w:r w:rsidR="00AF58D4">
        <w:t xml:space="preserve"> with </w:t>
      </w:r>
      <w:r>
        <w:t>four</w:t>
      </w:r>
      <w:r w:rsidR="00AF58D4">
        <w:t xml:space="preserve"> that takes </w:t>
      </w:r>
      <w:r>
        <w:t>too many</w:t>
      </w:r>
      <w:r w:rsidR="00AF58D4">
        <w:t xml:space="preserve"> pages to explain and </w:t>
      </w:r>
      <w:r>
        <w:t xml:space="preserve">an </w:t>
      </w:r>
      <w:r w:rsidR="00AF58D4">
        <w:t>83</w:t>
      </w:r>
      <w:r>
        <w:t>-</w:t>
      </w:r>
      <w:r w:rsidR="00AF58D4">
        <w:t>column spreadsheet to calculate.</w:t>
      </w:r>
    </w:p>
    <w:p w14:paraId="1666A94A" w14:textId="6E975FF7" w:rsidR="00A359D1" w:rsidRPr="001C0A3A" w:rsidRDefault="00D06CAC" w:rsidP="001C0A3A">
      <w:pPr>
        <w:spacing w:line="480" w:lineRule="auto"/>
        <w:ind w:firstLine="720"/>
        <w:sectPr w:rsidR="00A359D1" w:rsidRPr="001C0A3A" w:rsidSect="00D140CA">
          <w:headerReference w:type="even" r:id="rId10"/>
          <w:headerReference w:type="default" r:id="rId11"/>
          <w:pgSz w:w="12240" w:h="15840"/>
          <w:pgMar w:top="1440" w:right="1440" w:bottom="1440" w:left="1440" w:header="720" w:footer="720" w:gutter="0"/>
          <w:cols w:space="720"/>
          <w:docGrid w:linePitch="360"/>
        </w:sectPr>
      </w:pPr>
      <w:r>
        <w:t xml:space="preserve">The only </w:t>
      </w:r>
      <w:r w:rsidR="00B40340">
        <w:t>obvious</w:t>
      </w:r>
      <w:r w:rsidR="001676E8">
        <w:t xml:space="preserve"> result</w:t>
      </w:r>
      <w:r>
        <w:t>s</w:t>
      </w:r>
      <w:r w:rsidR="001676E8">
        <w:t xml:space="preserve"> of th</w:t>
      </w:r>
      <w:r>
        <w:t>ese</w:t>
      </w:r>
      <w:r w:rsidR="001676E8">
        <w:t xml:space="preserve"> polic</w:t>
      </w:r>
      <w:r>
        <w:t>ies</w:t>
      </w:r>
      <w:r w:rsidR="001676E8">
        <w:t xml:space="preserve"> of threatening and shaming has </w:t>
      </w:r>
      <w:r>
        <w:t>been</w:t>
      </w:r>
      <w:r w:rsidR="001676E8">
        <w:t xml:space="preserve"> driving teachers out of the profession and reducing the numbers of college student</w:t>
      </w:r>
      <w:r>
        <w:t>s</w:t>
      </w:r>
      <w:r w:rsidR="001676E8">
        <w:t xml:space="preserve"> enrolling in teacher </w:t>
      </w:r>
      <w:r>
        <w:t xml:space="preserve">education </w:t>
      </w:r>
      <w:r w:rsidR="001676E8">
        <w:t xml:space="preserve">programs. </w:t>
      </w:r>
      <w:r w:rsidR="00623AB7">
        <w:t>There is absolutely no evidence of</w:t>
      </w:r>
      <w:r w:rsidR="001676E8">
        <w:t xml:space="preserve"> clos</w:t>
      </w:r>
      <w:r w:rsidR="00623AB7">
        <w:t>ing</w:t>
      </w:r>
      <w:r w:rsidR="001676E8">
        <w:t xml:space="preserve"> the achievement gap. How do </w:t>
      </w:r>
      <w:r w:rsidR="00623AB7">
        <w:t>taxpayers tolerate</w:t>
      </w:r>
      <w:r w:rsidR="001676E8">
        <w:t xml:space="preserve"> such a record?</w:t>
      </w:r>
      <w:r w:rsidR="00B40340">
        <w:t xml:space="preserve"> </w:t>
      </w:r>
      <w:r w:rsidR="00802026">
        <w:t xml:space="preserve">After 56 years of failure to even nudge the achievement gap </w:t>
      </w:r>
      <w:r w:rsidR="00802026">
        <w:lastRenderedPageBreak/>
        <w:t xml:space="preserve">under ESEA, 19 years of failure under NCLB and </w:t>
      </w:r>
      <w:r w:rsidR="00623AB7">
        <w:t>five</w:t>
      </w:r>
      <w:r w:rsidR="00802026">
        <w:t xml:space="preserve"> years of failure under ESSA</w:t>
      </w:r>
      <w:r w:rsidR="00623AB7">
        <w:t>,</w:t>
      </w:r>
      <w:r w:rsidR="00802026">
        <w:t xml:space="preserve"> it is time to scrap the threaten and shame policies used in these federal </w:t>
      </w:r>
      <w:r w:rsidR="00B40340">
        <w:t>directives</w:t>
      </w:r>
      <w:r w:rsidR="00802026">
        <w:t xml:space="preserve"> and stop blaming teachers and administrators for</w:t>
      </w:r>
      <w:r w:rsidR="001676E8">
        <w:t xml:space="preserve"> policy</w:t>
      </w:r>
      <w:r w:rsidR="00802026">
        <w:t xml:space="preserve"> failure</w:t>
      </w:r>
      <w:r w:rsidR="001676E8">
        <w:t>s</w:t>
      </w:r>
      <w:r w:rsidR="00802026">
        <w:t xml:space="preserve"> and </w:t>
      </w:r>
      <w:r w:rsidR="00B40340">
        <w:t>acknowledge</w:t>
      </w:r>
      <w:r w:rsidR="00802026">
        <w:t xml:space="preserve"> the research that most educators have known for </w:t>
      </w:r>
      <w:r w:rsidR="001676E8">
        <w:t>decades</w:t>
      </w:r>
      <w:r w:rsidR="00623AB7">
        <w:t>:</w:t>
      </w:r>
      <w:r w:rsidR="00802026">
        <w:t xml:space="preserve"> poverty drive</w:t>
      </w:r>
      <w:r w:rsidR="003A3509">
        <w:t>s</w:t>
      </w:r>
      <w:r w:rsidR="00802026">
        <w:t xml:space="preserve"> achievement in education.</w:t>
      </w:r>
      <w:r w:rsidR="00D6522C">
        <w:t xml:space="preserve"> </w:t>
      </w:r>
      <w:r w:rsidR="00802026">
        <w:t xml:space="preserve">It is time to </w:t>
      </w:r>
      <w:r w:rsidR="00B40340">
        <w:t>reevaluate</w:t>
      </w:r>
      <w:r w:rsidR="00802026">
        <w:t xml:space="preserve"> if we have any </w:t>
      </w:r>
      <w:r w:rsidR="00B40340">
        <w:t>hope of improving the lives of URM and poor children</w:t>
      </w:r>
      <w:r w:rsidR="001C0A3A">
        <w:t>.</w:t>
      </w:r>
    </w:p>
    <w:p w14:paraId="71BEB404" w14:textId="1BA25FE9" w:rsidR="003578BD" w:rsidRDefault="003578BD"/>
    <w:p w14:paraId="00F8327F" w14:textId="45DAB0D5" w:rsidR="00253EE2" w:rsidRDefault="00253EE2" w:rsidP="00253EE2">
      <w:pPr>
        <w:spacing w:line="480" w:lineRule="auto"/>
        <w:jc w:val="center"/>
      </w:pPr>
      <w:r>
        <w:t>References</w:t>
      </w:r>
    </w:p>
    <w:p w14:paraId="3BD128F9" w14:textId="7FCFD10C" w:rsidR="0006440A" w:rsidRDefault="00486CB3" w:rsidP="0006440A">
      <w:pPr>
        <w:spacing w:line="480" w:lineRule="auto"/>
        <w:ind w:left="720" w:hanging="720"/>
      </w:pPr>
      <w:proofErr w:type="spellStart"/>
      <w:r>
        <w:t>Amrein</w:t>
      </w:r>
      <w:proofErr w:type="spellEnd"/>
      <w:r>
        <w:t>-Beardsley, A., Collins, C., Holloway-</w:t>
      </w:r>
      <w:proofErr w:type="spellStart"/>
      <w:r>
        <w:t>Libell</w:t>
      </w:r>
      <w:proofErr w:type="spellEnd"/>
      <w:r w:rsidR="0006440A">
        <w:t xml:space="preserve">, J., &amp; </w:t>
      </w:r>
      <w:proofErr w:type="spellStart"/>
      <w:r w:rsidR="0006440A">
        <w:t>Paufler</w:t>
      </w:r>
      <w:proofErr w:type="spellEnd"/>
      <w:r w:rsidR="0006440A">
        <w:t xml:space="preserve">, N. (2016). Everything is bigger (and </w:t>
      </w:r>
      <w:proofErr w:type="spellStart"/>
      <w:r w:rsidR="0006440A">
        <w:t>badder</w:t>
      </w:r>
      <w:proofErr w:type="spellEnd"/>
      <w:r w:rsidR="0006440A">
        <w:t xml:space="preserve">) in Texas: Houston’s teacher value-added system. </w:t>
      </w:r>
      <w:r w:rsidR="0006440A" w:rsidRPr="0006440A">
        <w:rPr>
          <w:i/>
          <w:iCs/>
        </w:rPr>
        <w:t>Teachers College Record</w:t>
      </w:r>
      <w:r w:rsidR="0006440A">
        <w:t xml:space="preserve">, January 5. </w:t>
      </w:r>
      <w:hyperlink r:id="rId12" w:history="1">
        <w:r w:rsidR="0006440A" w:rsidRPr="00C73223">
          <w:rPr>
            <w:rStyle w:val="Hyperlink"/>
          </w:rPr>
          <w:t>http://www.tcrecord.org/Content.asp?ContentId=18983</w:t>
        </w:r>
      </w:hyperlink>
    </w:p>
    <w:p w14:paraId="0416AB82" w14:textId="692F9C8C" w:rsidR="00BF579F" w:rsidRDefault="00BF579F" w:rsidP="00BF579F">
      <w:pPr>
        <w:spacing w:line="480" w:lineRule="auto"/>
        <w:ind w:left="720" w:hanging="720"/>
      </w:pPr>
      <w:proofErr w:type="spellStart"/>
      <w:r>
        <w:t>Detterman</w:t>
      </w:r>
      <w:proofErr w:type="spellEnd"/>
      <w:r>
        <w:t xml:space="preserve">, D. K. (2016). Education and intelligence: Pity the poor teacher because student characteristics are more significant than teachers or schools. </w:t>
      </w:r>
      <w:r w:rsidRPr="00BF579F">
        <w:rPr>
          <w:i/>
          <w:iCs/>
        </w:rPr>
        <w:t>The Spanish Journal of Psychology, 19,</w:t>
      </w:r>
      <w:r>
        <w:t xml:space="preserve"> e93. </w:t>
      </w:r>
      <w:hyperlink r:id="rId13" w:tgtFrame="_blank" w:history="1">
        <w:r>
          <w:rPr>
            <w:rStyle w:val="text"/>
            <w:color w:val="0000FF"/>
            <w:u w:val="single"/>
          </w:rPr>
          <w:t>https://doi.org/10.1017/sjp.2016.88</w:t>
        </w:r>
      </w:hyperlink>
    </w:p>
    <w:p w14:paraId="1D8E7125" w14:textId="18E801F4" w:rsidR="00A502C1" w:rsidRDefault="00A502C1" w:rsidP="00816B24">
      <w:pPr>
        <w:spacing w:line="480" w:lineRule="auto"/>
        <w:ind w:left="720" w:hanging="720"/>
      </w:pPr>
      <w:r>
        <w:t xml:space="preserve">Hanushek, E. A. (1997). Assessing the effects of school resources on student performance: An update. </w:t>
      </w:r>
      <w:r w:rsidRPr="00EF41CB">
        <w:rPr>
          <w:i/>
        </w:rPr>
        <w:t>Educational Evaluation and Policy Analysis, 19</w:t>
      </w:r>
      <w:r w:rsidR="00816B24">
        <w:rPr>
          <w:iCs/>
        </w:rPr>
        <w:t>(2)</w:t>
      </w:r>
      <w:r w:rsidRPr="00EF41CB">
        <w:rPr>
          <w:i/>
        </w:rPr>
        <w:t>,</w:t>
      </w:r>
      <w:r>
        <w:t xml:space="preserve"> 141-164.</w:t>
      </w:r>
      <w:r w:rsidR="00816B24">
        <w:t xml:space="preserve"> </w:t>
      </w:r>
      <w:hyperlink r:id="rId14" w:tgtFrame="_blank" w:history="1">
        <w:r w:rsidR="00816B24">
          <w:rPr>
            <w:rStyle w:val="Hyperlink"/>
          </w:rPr>
          <w:t>https://doi.org/10.2307/1164207</w:t>
        </w:r>
      </w:hyperlink>
    </w:p>
    <w:p w14:paraId="5D06F924" w14:textId="5EA26F66" w:rsidR="00ED6C1F" w:rsidRDefault="00ED6C1F" w:rsidP="00A502C1">
      <w:pPr>
        <w:spacing w:line="480" w:lineRule="auto"/>
        <w:ind w:left="720" w:hanging="720"/>
      </w:pPr>
      <w:r>
        <w:t>Hanushek, E. A. (20</w:t>
      </w:r>
      <w:r w:rsidR="00310E92">
        <w:t xml:space="preserve">16). What matters for student </w:t>
      </w:r>
      <w:proofErr w:type="gramStart"/>
      <w:r w:rsidR="00310E92">
        <w:t>achievement.</w:t>
      </w:r>
      <w:proofErr w:type="gramEnd"/>
      <w:r w:rsidR="00310E92">
        <w:t xml:space="preserve"> </w:t>
      </w:r>
      <w:r w:rsidR="00310E92" w:rsidRPr="00310E92">
        <w:rPr>
          <w:i/>
          <w:iCs/>
        </w:rPr>
        <w:t>Education Next, 16</w:t>
      </w:r>
      <w:r w:rsidR="00310E92">
        <w:t xml:space="preserve">(2). </w:t>
      </w:r>
      <w:hyperlink r:id="rId15" w:history="1">
        <w:r w:rsidR="00310E92" w:rsidRPr="00E34165">
          <w:rPr>
            <w:rStyle w:val="Hyperlink"/>
          </w:rPr>
          <w:t>https://www.educationnext.org/what-matters-for-student-achievement/</w:t>
        </w:r>
      </w:hyperlink>
    </w:p>
    <w:p w14:paraId="7C97525C" w14:textId="12B3D56B" w:rsidR="00A502C1" w:rsidRDefault="00A502C1" w:rsidP="00816B24">
      <w:pPr>
        <w:spacing w:line="480" w:lineRule="auto"/>
        <w:ind w:left="720" w:hanging="720"/>
      </w:pPr>
      <w:proofErr w:type="spellStart"/>
      <w:r>
        <w:t>Heissel</w:t>
      </w:r>
      <w:proofErr w:type="spellEnd"/>
      <w:r>
        <w:t xml:space="preserve">, J. A., &amp; Ladd, H. F. (2018). School turnaround in North Carolina: A regression discontinuity analysis. </w:t>
      </w:r>
      <w:r>
        <w:rPr>
          <w:i/>
        </w:rPr>
        <w:t xml:space="preserve">Economics of Education Review, 62, </w:t>
      </w:r>
      <w:r>
        <w:t>302-320.</w:t>
      </w:r>
      <w:r w:rsidR="00816B24">
        <w:t xml:space="preserve"> </w:t>
      </w:r>
      <w:hyperlink r:id="rId16" w:tgtFrame="_blank" w:tooltip="Persistent link using digital object identifier" w:history="1">
        <w:r w:rsidR="00816B24">
          <w:rPr>
            <w:rStyle w:val="Hyperlink"/>
          </w:rPr>
          <w:t>https://doi.org/10.1016/j.econedurev.2017.08.001</w:t>
        </w:r>
      </w:hyperlink>
    </w:p>
    <w:p w14:paraId="6C663337" w14:textId="6E1D33D6" w:rsidR="00816B24" w:rsidRDefault="00253EE2" w:rsidP="00816B24">
      <w:pPr>
        <w:spacing w:line="480" w:lineRule="auto"/>
        <w:ind w:left="720" w:hanging="720"/>
        <w:rPr>
          <w:color w:val="000000"/>
          <w:shd w:val="clear" w:color="auto" w:fill="FFFFFF"/>
        </w:rPr>
      </w:pPr>
      <w:proofErr w:type="spellStart"/>
      <w:r w:rsidRPr="004435F8">
        <w:rPr>
          <w:color w:val="000000"/>
          <w:shd w:val="clear" w:color="auto" w:fill="FFFFFF"/>
        </w:rPr>
        <w:t>Lacour</w:t>
      </w:r>
      <w:proofErr w:type="spellEnd"/>
      <w:r w:rsidRPr="004435F8">
        <w:rPr>
          <w:color w:val="000000"/>
          <w:shd w:val="clear" w:color="auto" w:fill="FFFFFF"/>
        </w:rPr>
        <w:t>, M.</w:t>
      </w:r>
      <w:r>
        <w:rPr>
          <w:color w:val="000000"/>
          <w:shd w:val="clear" w:color="auto" w:fill="FFFFFF"/>
        </w:rPr>
        <w:t xml:space="preserve">, &amp; </w:t>
      </w:r>
      <w:proofErr w:type="spellStart"/>
      <w:r w:rsidRPr="004435F8">
        <w:rPr>
          <w:color w:val="000000"/>
          <w:shd w:val="clear" w:color="auto" w:fill="FFFFFF"/>
        </w:rPr>
        <w:t>Tissington</w:t>
      </w:r>
      <w:proofErr w:type="spellEnd"/>
      <w:r>
        <w:rPr>
          <w:color w:val="000000"/>
          <w:shd w:val="clear" w:color="auto" w:fill="FFFFFF"/>
        </w:rPr>
        <w:t>, L. D. (2011).</w:t>
      </w:r>
      <w:r w:rsidRPr="004435F8">
        <w:rPr>
          <w:color w:val="000000"/>
          <w:shd w:val="clear" w:color="auto" w:fill="FFFFFF"/>
        </w:rPr>
        <w:t xml:space="preserve"> The effects of poverty on academic achievement. </w:t>
      </w:r>
      <w:r w:rsidRPr="004435F8">
        <w:rPr>
          <w:i/>
          <w:color w:val="000000"/>
          <w:shd w:val="clear" w:color="auto" w:fill="FFFFFF"/>
        </w:rPr>
        <w:t xml:space="preserve">Educational Research and Reviews, </w:t>
      </w:r>
      <w:r w:rsidR="00816B24">
        <w:rPr>
          <w:i/>
          <w:color w:val="000000"/>
          <w:shd w:val="clear" w:color="auto" w:fill="FFFFFF"/>
        </w:rPr>
        <w:t>6</w:t>
      </w:r>
      <w:r w:rsidR="00816B24">
        <w:rPr>
          <w:iCs/>
          <w:color w:val="000000"/>
          <w:shd w:val="clear" w:color="auto" w:fill="FFFFFF"/>
        </w:rPr>
        <w:t>(7)</w:t>
      </w:r>
      <w:r w:rsidRPr="004435F8">
        <w:rPr>
          <w:i/>
          <w:color w:val="000000"/>
          <w:shd w:val="clear" w:color="auto" w:fill="FFFFFF"/>
        </w:rPr>
        <w:t>,</w:t>
      </w:r>
      <w:r w:rsidRPr="004435F8">
        <w:rPr>
          <w:color w:val="000000"/>
          <w:shd w:val="clear" w:color="auto" w:fill="FFFFFF"/>
        </w:rPr>
        <w:t xml:space="preserve"> 522-527</w:t>
      </w:r>
      <w:r w:rsidR="00816B24">
        <w:rPr>
          <w:color w:val="000000"/>
          <w:shd w:val="clear" w:color="auto" w:fill="FFFFFF"/>
        </w:rPr>
        <w:t xml:space="preserve">. </w:t>
      </w:r>
      <w:hyperlink r:id="rId17" w:history="1">
        <w:r w:rsidR="00816B24" w:rsidRPr="00C73223">
          <w:rPr>
            <w:rStyle w:val="Hyperlink"/>
            <w:shd w:val="clear" w:color="auto" w:fill="FFFFFF"/>
          </w:rPr>
          <w:t>https://academicjournals.org/article/article1379765941_Lacour%20and%20Tissington.pdf</w:t>
        </w:r>
      </w:hyperlink>
    </w:p>
    <w:p w14:paraId="38FDE8DE" w14:textId="35DBEA0D" w:rsidR="00AB15ED" w:rsidRPr="00AB15ED" w:rsidRDefault="00AB15ED" w:rsidP="00BF579F">
      <w:pPr>
        <w:spacing w:line="480" w:lineRule="auto"/>
        <w:ind w:left="720" w:hanging="720"/>
      </w:pPr>
      <w:r w:rsidRPr="00AB15ED">
        <w:t>Sagan, C</w:t>
      </w:r>
      <w:r>
        <w:t>.</w:t>
      </w:r>
      <w:r w:rsidRPr="00AB15ED">
        <w:t xml:space="preserve"> (1997). </w:t>
      </w:r>
      <w:r w:rsidRPr="00AB15ED">
        <w:rPr>
          <w:i/>
          <w:iCs/>
        </w:rPr>
        <w:t xml:space="preserve">The </w:t>
      </w:r>
      <w:r>
        <w:rPr>
          <w:i/>
          <w:iCs/>
        </w:rPr>
        <w:t>d</w:t>
      </w:r>
      <w:r w:rsidRPr="00AB15ED">
        <w:rPr>
          <w:i/>
          <w:iCs/>
        </w:rPr>
        <w:t>emon-</w:t>
      </w:r>
      <w:r>
        <w:rPr>
          <w:i/>
          <w:iCs/>
        </w:rPr>
        <w:t>h</w:t>
      </w:r>
      <w:r w:rsidRPr="00AB15ED">
        <w:rPr>
          <w:i/>
          <w:iCs/>
        </w:rPr>
        <w:t xml:space="preserve">aunted </w:t>
      </w:r>
      <w:r>
        <w:rPr>
          <w:i/>
          <w:iCs/>
        </w:rPr>
        <w:t>w</w:t>
      </w:r>
      <w:r w:rsidRPr="00AB15ED">
        <w:rPr>
          <w:i/>
          <w:iCs/>
        </w:rPr>
        <w:t xml:space="preserve">orld: Science </w:t>
      </w:r>
      <w:r>
        <w:rPr>
          <w:i/>
          <w:iCs/>
        </w:rPr>
        <w:t>a</w:t>
      </w:r>
      <w:r w:rsidRPr="00AB15ED">
        <w:rPr>
          <w:i/>
          <w:iCs/>
        </w:rPr>
        <w:t xml:space="preserve">s a </w:t>
      </w:r>
      <w:r>
        <w:rPr>
          <w:i/>
          <w:iCs/>
        </w:rPr>
        <w:t>c</w:t>
      </w:r>
      <w:r w:rsidRPr="00AB15ED">
        <w:rPr>
          <w:i/>
          <w:iCs/>
        </w:rPr>
        <w:t xml:space="preserve">andle in the </w:t>
      </w:r>
      <w:r>
        <w:rPr>
          <w:i/>
          <w:iCs/>
        </w:rPr>
        <w:t>d</w:t>
      </w:r>
      <w:r w:rsidRPr="00AB15ED">
        <w:rPr>
          <w:i/>
          <w:iCs/>
        </w:rPr>
        <w:t>ark</w:t>
      </w:r>
      <w:r w:rsidRPr="00AB15ED">
        <w:t xml:space="preserve"> (Reprint ed.). </w:t>
      </w:r>
      <w:hyperlink r:id="rId18" w:tooltip="Ballantine Books" w:history="1">
        <w:r w:rsidRPr="00AB15ED">
          <w:rPr>
            <w:color w:val="0000FF"/>
            <w:u w:val="single"/>
          </w:rPr>
          <w:t>Ballantine Books</w:t>
        </w:r>
      </w:hyperlink>
      <w:r w:rsidRPr="00AB15ED">
        <w:t xml:space="preserve">. </w:t>
      </w:r>
      <w:hyperlink r:id="rId19" w:tooltip="ISBN (identifier)" w:history="1">
        <w:r w:rsidRPr="00AB15ED">
          <w:rPr>
            <w:color w:val="0000FF"/>
            <w:u w:val="single"/>
          </w:rPr>
          <w:t>ISBN</w:t>
        </w:r>
      </w:hyperlink>
      <w:r w:rsidRPr="00AB15ED">
        <w:t> </w:t>
      </w:r>
      <w:hyperlink r:id="rId20" w:tooltip="Special:BookSources/978-0345409461" w:history="1">
        <w:r w:rsidRPr="00AB15ED">
          <w:rPr>
            <w:color w:val="0000FF"/>
            <w:u w:val="single"/>
          </w:rPr>
          <w:t>978-0345409461</w:t>
        </w:r>
      </w:hyperlink>
      <w:r w:rsidRPr="00AB15ED">
        <w:t>.</w:t>
      </w:r>
    </w:p>
    <w:p w14:paraId="7A1BD08B" w14:textId="131BDEAE" w:rsidR="00AB15ED" w:rsidRPr="00AB15ED" w:rsidRDefault="00A03BF7" w:rsidP="00AB15ED">
      <w:pPr>
        <w:spacing w:line="480" w:lineRule="auto"/>
        <w:ind w:left="720" w:hanging="720"/>
      </w:pPr>
      <w:r>
        <w:lastRenderedPageBreak/>
        <w:t xml:space="preserve">Welch, G. W., </w:t>
      </w:r>
      <w:proofErr w:type="spellStart"/>
      <w:r>
        <w:t>Holmann</w:t>
      </w:r>
      <w:proofErr w:type="spellEnd"/>
      <w:r>
        <w:t xml:space="preserve">, S., &amp; </w:t>
      </w:r>
      <w:proofErr w:type="spellStart"/>
      <w:r>
        <w:t>Baumfalk</w:t>
      </w:r>
      <w:proofErr w:type="spellEnd"/>
      <w:r>
        <w:t xml:space="preserve">, B. (2015). </w:t>
      </w:r>
      <w:r w:rsidRPr="00816B24">
        <w:rPr>
          <w:i/>
          <w:iCs/>
        </w:rPr>
        <w:t>Nebraska school improvement grants: A framework for evaluating fidelity and impact</w:t>
      </w:r>
      <w:r>
        <w:t>. Nebraska Center for Research on Children, Youth, Families, &amp; Schools.</w:t>
      </w:r>
    </w:p>
    <w:p w14:paraId="1E233D87" w14:textId="77777777" w:rsidR="00340CDA" w:rsidRDefault="00340CDA" w:rsidP="00340CDA">
      <w:pPr>
        <w:sectPr w:rsidR="00340CDA" w:rsidSect="00D140CA">
          <w:pgSz w:w="12240" w:h="15840"/>
          <w:pgMar w:top="1440" w:right="1440" w:bottom="1440" w:left="1440" w:header="720" w:footer="720" w:gutter="0"/>
          <w:cols w:space="720"/>
          <w:docGrid w:linePitch="360"/>
        </w:sectPr>
      </w:pPr>
    </w:p>
    <w:p w14:paraId="44892C5A" w14:textId="2D512C75" w:rsidR="00340CDA" w:rsidRDefault="00340CDA" w:rsidP="00340CDA">
      <w:r>
        <w:lastRenderedPageBreak/>
        <w:t xml:space="preserve">Table 1. Four </w:t>
      </w:r>
      <w:proofErr w:type="spellStart"/>
      <w:r>
        <w:t>AQuESTT</w:t>
      </w:r>
      <w:proofErr w:type="spellEnd"/>
      <w:r>
        <w:t xml:space="preserve"> school performance categories by race and FRL.</w:t>
      </w:r>
    </w:p>
    <w:p w14:paraId="5D775C6C" w14:textId="77777777" w:rsidR="00340CDA" w:rsidRDefault="00340CDA" w:rsidP="00340CDA"/>
    <w:p w14:paraId="4721925F" w14:textId="77777777" w:rsidR="00340CDA" w:rsidRDefault="00340CDA" w:rsidP="00340CDA">
      <w:pPr>
        <w:rPr>
          <w:u w:val="single"/>
        </w:rPr>
      </w:pPr>
      <w:r>
        <w:rPr>
          <w:u w:val="single"/>
        </w:rPr>
        <w:t>Category</w:t>
      </w:r>
      <w:r>
        <w:rPr>
          <w:u w:val="single"/>
        </w:rPr>
        <w:tab/>
      </w:r>
      <w:r>
        <w:rPr>
          <w:u w:val="single"/>
        </w:rPr>
        <w:tab/>
        <w:t>Number</w:t>
      </w:r>
      <w:r>
        <w:rPr>
          <w:u w:val="single"/>
        </w:rPr>
        <w:tab/>
        <w:t>White</w:t>
      </w:r>
      <w:r>
        <w:rPr>
          <w:u w:val="single"/>
        </w:rPr>
        <w:tab/>
      </w:r>
      <w:r>
        <w:rPr>
          <w:u w:val="single"/>
        </w:rPr>
        <w:tab/>
        <w:t>African American</w:t>
      </w:r>
      <w:r>
        <w:rPr>
          <w:u w:val="single"/>
        </w:rPr>
        <w:tab/>
        <w:t>Hispanic</w:t>
      </w:r>
      <w:r>
        <w:rPr>
          <w:u w:val="single"/>
        </w:rPr>
        <w:tab/>
        <w:t>Native American</w:t>
      </w:r>
      <w:r>
        <w:rPr>
          <w:u w:val="single"/>
        </w:rPr>
        <w:tab/>
        <w:t>FRL</w:t>
      </w:r>
      <w:r>
        <w:rPr>
          <w:u w:val="single"/>
        </w:rPr>
        <w:tab/>
      </w:r>
    </w:p>
    <w:p w14:paraId="6DF91901" w14:textId="77777777" w:rsidR="00340CDA" w:rsidRDefault="00340CDA" w:rsidP="00340CDA">
      <w:r>
        <w:t>Need Improvement</w:t>
      </w:r>
      <w:r>
        <w:tab/>
        <w:t>38,499</w:t>
      </w:r>
      <w:r>
        <w:tab/>
      </w:r>
      <w:r>
        <w:tab/>
        <w:t>31%</w:t>
      </w:r>
      <w:r>
        <w:tab/>
      </w:r>
      <w:r>
        <w:tab/>
        <w:t>18%</w:t>
      </w:r>
      <w:r>
        <w:tab/>
      </w:r>
      <w:r>
        <w:tab/>
      </w:r>
      <w:r>
        <w:tab/>
        <w:t>36%</w:t>
      </w:r>
      <w:r>
        <w:tab/>
      </w:r>
      <w:r>
        <w:tab/>
        <w:t>5%</w:t>
      </w:r>
      <w:r>
        <w:tab/>
      </w:r>
      <w:r>
        <w:tab/>
      </w:r>
      <w:r>
        <w:tab/>
        <w:t>61%</w:t>
      </w:r>
    </w:p>
    <w:p w14:paraId="08413B0B" w14:textId="77777777" w:rsidR="00340CDA" w:rsidRDefault="00340CDA" w:rsidP="00340CDA"/>
    <w:p w14:paraId="4982DC41" w14:textId="77777777" w:rsidR="00340CDA" w:rsidRDefault="00340CDA" w:rsidP="00340CDA">
      <w:r>
        <w:t>Good</w:t>
      </w:r>
      <w:r>
        <w:tab/>
      </w:r>
      <w:r>
        <w:tab/>
      </w:r>
      <w:r>
        <w:tab/>
        <w:t>118,983</w:t>
      </w:r>
      <w:r>
        <w:tab/>
        <w:t>59%</w:t>
      </w:r>
      <w:r>
        <w:tab/>
      </w:r>
      <w:r>
        <w:tab/>
        <w:t>8%</w:t>
      </w:r>
      <w:r>
        <w:tab/>
      </w:r>
      <w:r>
        <w:tab/>
      </w:r>
      <w:r>
        <w:tab/>
        <w:t>25%</w:t>
      </w:r>
      <w:r>
        <w:tab/>
      </w:r>
      <w:r>
        <w:tab/>
        <w:t>1%</w:t>
      </w:r>
      <w:r>
        <w:tab/>
      </w:r>
      <w:r>
        <w:tab/>
      </w:r>
      <w:r>
        <w:tab/>
        <w:t>52%</w:t>
      </w:r>
    </w:p>
    <w:p w14:paraId="3C48797D" w14:textId="77777777" w:rsidR="00340CDA" w:rsidRDefault="00340CDA" w:rsidP="00340CDA"/>
    <w:p w14:paraId="43697C03" w14:textId="77777777" w:rsidR="00340CDA" w:rsidRDefault="00340CDA" w:rsidP="00340CDA">
      <w:r>
        <w:t>Great</w:t>
      </w:r>
      <w:r>
        <w:tab/>
      </w:r>
      <w:r>
        <w:tab/>
      </w:r>
      <w:r>
        <w:tab/>
        <w:t>141,587</w:t>
      </w:r>
      <w:r>
        <w:tab/>
        <w:t>79%</w:t>
      </w:r>
      <w:r>
        <w:tab/>
      </w:r>
      <w:r>
        <w:tab/>
        <w:t>3%</w:t>
      </w:r>
      <w:r>
        <w:tab/>
      </w:r>
      <w:r>
        <w:tab/>
      </w:r>
      <w:r>
        <w:tab/>
        <w:t>12%</w:t>
      </w:r>
      <w:r>
        <w:tab/>
      </w:r>
      <w:r>
        <w:tab/>
        <w:t>0.7%</w:t>
      </w:r>
      <w:r>
        <w:tab/>
      </w:r>
      <w:r>
        <w:tab/>
      </w:r>
      <w:r>
        <w:tab/>
        <w:t>38%</w:t>
      </w:r>
    </w:p>
    <w:p w14:paraId="40C7637E" w14:textId="77777777" w:rsidR="00340CDA" w:rsidRDefault="00340CDA" w:rsidP="00340CDA"/>
    <w:p w14:paraId="3C40C1E6" w14:textId="77777777" w:rsidR="00340CDA" w:rsidRPr="00EF6446" w:rsidRDefault="00340CDA" w:rsidP="00340CDA">
      <w:r>
        <w:t>Excellent</w:t>
      </w:r>
      <w:r>
        <w:tab/>
      </w:r>
      <w:r>
        <w:tab/>
        <w:t>36,684</w:t>
      </w:r>
      <w:r>
        <w:tab/>
      </w:r>
      <w:r>
        <w:tab/>
        <w:t>85%</w:t>
      </w:r>
      <w:r>
        <w:tab/>
      </w:r>
      <w:r>
        <w:tab/>
        <w:t>2%</w:t>
      </w:r>
      <w:r>
        <w:tab/>
      </w:r>
      <w:r>
        <w:tab/>
      </w:r>
      <w:r>
        <w:tab/>
        <w:t>6%</w:t>
      </w:r>
      <w:r>
        <w:tab/>
      </w:r>
      <w:r>
        <w:tab/>
        <w:t>0.4%</w:t>
      </w:r>
      <w:r>
        <w:tab/>
      </w:r>
      <w:r>
        <w:tab/>
      </w:r>
      <w:r>
        <w:tab/>
        <w:t>31%</w:t>
      </w:r>
    </w:p>
    <w:p w14:paraId="4C899A82" w14:textId="77777777" w:rsidR="00340CDA" w:rsidRDefault="00340CDA" w:rsidP="00340CDA">
      <w:pPr>
        <w:sectPr w:rsidR="00340CDA" w:rsidSect="00340CDA">
          <w:pgSz w:w="15840" w:h="12240" w:orient="landscape"/>
          <w:pgMar w:top="1440" w:right="1440" w:bottom="1440" w:left="1440" w:header="720" w:footer="720" w:gutter="0"/>
          <w:cols w:space="720"/>
          <w:docGrid w:linePitch="360"/>
        </w:sectPr>
      </w:pPr>
    </w:p>
    <w:p w14:paraId="1CBE14D7" w14:textId="0B6F6BDC" w:rsidR="00340CDA" w:rsidRPr="00EF52DD" w:rsidRDefault="00340CDA" w:rsidP="00340CDA">
      <w:r>
        <w:lastRenderedPageBreak/>
        <w:t>Table 2</w:t>
      </w:r>
      <w:r w:rsidRPr="00EF52DD">
        <w:t>. Schools located in Omaha with high FRL.</w:t>
      </w:r>
    </w:p>
    <w:p w14:paraId="43324A08" w14:textId="77777777" w:rsidR="00340CDA" w:rsidRDefault="00340CDA" w:rsidP="00340CDA"/>
    <w:p w14:paraId="7B4EEB25" w14:textId="77777777" w:rsidR="00340CDA" w:rsidRPr="00467A7C" w:rsidRDefault="00340CDA" w:rsidP="00340CDA">
      <w:pPr>
        <w:rPr>
          <w:u w:val="single"/>
        </w:rPr>
      </w:pPr>
      <w:r>
        <w:tab/>
      </w:r>
      <w:r>
        <w:tab/>
      </w:r>
      <w:r>
        <w:tab/>
      </w:r>
      <w:r>
        <w:tab/>
      </w:r>
      <w:r>
        <w:tab/>
      </w:r>
      <w:r>
        <w:rPr>
          <w:u w:val="single"/>
        </w:rPr>
        <w:t>Categorized as Need Improvement</w:t>
      </w:r>
    </w:p>
    <w:p w14:paraId="1D9FED45" w14:textId="77777777" w:rsidR="00340CDA" w:rsidRPr="00EF52DD" w:rsidRDefault="00340CDA" w:rsidP="00340CDA">
      <w:pPr>
        <w:rPr>
          <w:u w:val="single"/>
        </w:rPr>
      </w:pPr>
      <w:r w:rsidRPr="00EF52DD">
        <w:rPr>
          <w:u w:val="single"/>
        </w:rPr>
        <w:t>School</w:t>
      </w:r>
      <w:r w:rsidRPr="00EF52DD">
        <w:rPr>
          <w:u w:val="single"/>
        </w:rPr>
        <w:tab/>
      </w:r>
      <w:r w:rsidRPr="00EF52DD">
        <w:rPr>
          <w:u w:val="single"/>
        </w:rPr>
        <w:tab/>
      </w:r>
      <w:r w:rsidRPr="00EF52DD">
        <w:rPr>
          <w:u w:val="single"/>
        </w:rPr>
        <w:tab/>
      </w:r>
      <w:r w:rsidRPr="00EF52DD">
        <w:rPr>
          <w:u w:val="single"/>
        </w:rPr>
        <w:tab/>
      </w:r>
      <w:r w:rsidRPr="00EF52DD">
        <w:rPr>
          <w:u w:val="single"/>
        </w:rPr>
        <w:tab/>
      </w:r>
      <w:proofErr w:type="spellStart"/>
      <w:r>
        <w:rPr>
          <w:u w:val="single"/>
        </w:rPr>
        <w:t>NeP</w:t>
      </w:r>
      <w:r w:rsidRPr="00EF52DD">
        <w:rPr>
          <w:u w:val="single"/>
        </w:rPr>
        <w:t>AS</w:t>
      </w:r>
      <w:proofErr w:type="spellEnd"/>
      <w:r w:rsidRPr="00EF52DD">
        <w:rPr>
          <w:u w:val="single"/>
        </w:rPr>
        <w:t xml:space="preserve"> Years</w:t>
      </w:r>
      <w:r w:rsidRPr="00EF52DD">
        <w:rPr>
          <w:u w:val="single"/>
        </w:rPr>
        <w:tab/>
      </w:r>
      <w:proofErr w:type="spellStart"/>
      <w:r w:rsidRPr="00EF52DD">
        <w:rPr>
          <w:u w:val="single"/>
        </w:rPr>
        <w:t>AQu</w:t>
      </w:r>
      <w:r>
        <w:rPr>
          <w:u w:val="single"/>
        </w:rPr>
        <w:t>ES</w:t>
      </w:r>
      <w:r w:rsidRPr="00EF52DD">
        <w:rPr>
          <w:u w:val="single"/>
        </w:rPr>
        <w:t>TT</w:t>
      </w:r>
      <w:proofErr w:type="spellEnd"/>
      <w:r w:rsidRPr="00EF52DD">
        <w:rPr>
          <w:u w:val="single"/>
        </w:rPr>
        <w:t xml:space="preserve"> Years</w:t>
      </w:r>
      <w:r w:rsidRPr="00EF52DD">
        <w:rPr>
          <w:u w:val="single"/>
        </w:rPr>
        <w:tab/>
        <w:t>2010-11 %FRL</w:t>
      </w:r>
    </w:p>
    <w:p w14:paraId="1B5E293D" w14:textId="77777777" w:rsidR="00340CDA" w:rsidRPr="00EF52DD" w:rsidRDefault="00340CDA" w:rsidP="00340CDA">
      <w:r w:rsidRPr="00EF52DD">
        <w:t>Bancroft Elementary School</w:t>
      </w:r>
      <w:r w:rsidRPr="00EF52DD">
        <w:tab/>
      </w:r>
      <w:r w:rsidRPr="00EF52DD">
        <w:tab/>
        <w:t>4</w:t>
      </w:r>
      <w:r w:rsidRPr="00EF52DD">
        <w:tab/>
      </w:r>
      <w:r w:rsidRPr="00EF52DD">
        <w:tab/>
        <w:t>3</w:t>
      </w:r>
      <w:r w:rsidRPr="00EF52DD">
        <w:tab/>
      </w:r>
      <w:r w:rsidRPr="00EF52DD">
        <w:tab/>
      </w:r>
      <w:r w:rsidRPr="00EF52DD">
        <w:tab/>
        <w:t>42</w:t>
      </w:r>
      <w:r w:rsidRPr="00EF52DD">
        <w:tab/>
      </w:r>
      <w:r w:rsidRPr="00EF52DD">
        <w:tab/>
      </w:r>
      <w:r w:rsidRPr="00EF52DD">
        <w:tab/>
      </w:r>
    </w:p>
    <w:p w14:paraId="0660D358" w14:textId="77777777" w:rsidR="00340CDA" w:rsidRPr="00EF52DD" w:rsidRDefault="00340CDA" w:rsidP="00340CDA">
      <w:r w:rsidRPr="00EF52DD">
        <w:t>Benson Magnet High School</w:t>
      </w:r>
      <w:r w:rsidRPr="00EF52DD">
        <w:tab/>
      </w:r>
      <w:r w:rsidRPr="00EF52DD">
        <w:tab/>
        <w:t>5</w:t>
      </w:r>
      <w:r w:rsidRPr="00EF52DD">
        <w:tab/>
      </w:r>
      <w:r w:rsidRPr="00EF52DD">
        <w:tab/>
        <w:t>3</w:t>
      </w:r>
      <w:r w:rsidRPr="00EF52DD">
        <w:tab/>
      </w:r>
      <w:r w:rsidRPr="00EF52DD">
        <w:tab/>
      </w:r>
      <w:r w:rsidRPr="00EF52DD">
        <w:tab/>
        <w:t>76</w:t>
      </w:r>
      <w:r w:rsidRPr="00EF52DD">
        <w:tab/>
      </w:r>
      <w:r w:rsidRPr="00EF52DD">
        <w:tab/>
      </w:r>
      <w:r w:rsidRPr="00EF52DD">
        <w:tab/>
      </w:r>
    </w:p>
    <w:p w14:paraId="4B9883B3" w14:textId="77777777" w:rsidR="00340CDA" w:rsidRPr="00EF52DD" w:rsidRDefault="00340CDA" w:rsidP="00340CDA">
      <w:r w:rsidRPr="00EF52DD">
        <w:t>Bryan High School</w:t>
      </w:r>
      <w:r w:rsidRPr="00EF52DD">
        <w:tab/>
      </w:r>
      <w:r w:rsidRPr="00EF52DD">
        <w:tab/>
      </w:r>
      <w:r w:rsidRPr="00EF52DD">
        <w:tab/>
        <w:t>4</w:t>
      </w:r>
      <w:r w:rsidRPr="00EF52DD">
        <w:tab/>
      </w:r>
      <w:r w:rsidRPr="00EF52DD">
        <w:tab/>
        <w:t>2</w:t>
      </w:r>
      <w:r w:rsidRPr="00EF52DD">
        <w:tab/>
      </w:r>
      <w:r w:rsidRPr="00EF52DD">
        <w:tab/>
      </w:r>
      <w:r w:rsidRPr="00EF52DD">
        <w:tab/>
        <w:t>75</w:t>
      </w:r>
      <w:r w:rsidRPr="00EF52DD">
        <w:tab/>
      </w:r>
      <w:r w:rsidRPr="00EF52DD">
        <w:tab/>
      </w:r>
      <w:r w:rsidRPr="00EF52DD">
        <w:tab/>
      </w:r>
    </w:p>
    <w:p w14:paraId="350154BA" w14:textId="77777777" w:rsidR="00340CDA" w:rsidRPr="00EF52DD" w:rsidRDefault="00340CDA" w:rsidP="00340CDA">
      <w:r w:rsidRPr="00EF52DD">
        <w:t>Conestoga Magnet Elem School</w:t>
      </w:r>
      <w:r w:rsidRPr="00EF52DD">
        <w:tab/>
        <w:t>4</w:t>
      </w:r>
      <w:r w:rsidRPr="00EF52DD">
        <w:tab/>
      </w:r>
      <w:r w:rsidRPr="00EF52DD">
        <w:tab/>
        <w:t>2</w:t>
      </w:r>
      <w:r w:rsidRPr="00EF52DD">
        <w:tab/>
      </w:r>
      <w:r w:rsidRPr="00EF52DD">
        <w:tab/>
      </w:r>
      <w:r w:rsidRPr="00EF52DD">
        <w:tab/>
        <w:t>93</w:t>
      </w:r>
      <w:r w:rsidRPr="00EF52DD">
        <w:tab/>
      </w:r>
      <w:r w:rsidRPr="00EF52DD">
        <w:tab/>
      </w:r>
      <w:r w:rsidRPr="00EF52DD">
        <w:tab/>
      </w:r>
    </w:p>
    <w:p w14:paraId="0F1C303A" w14:textId="77777777" w:rsidR="00340CDA" w:rsidRPr="00EF52DD" w:rsidRDefault="00340CDA" w:rsidP="00340CDA">
      <w:r w:rsidRPr="00EF52DD">
        <w:t>Fontenelle Elementary School</w:t>
      </w:r>
      <w:r w:rsidRPr="00EF52DD">
        <w:tab/>
        <w:t>4</w:t>
      </w:r>
      <w:r w:rsidRPr="00EF52DD">
        <w:tab/>
      </w:r>
      <w:r w:rsidRPr="00EF52DD">
        <w:tab/>
        <w:t>3</w:t>
      </w:r>
      <w:r w:rsidRPr="00EF52DD">
        <w:tab/>
      </w:r>
      <w:r w:rsidRPr="00EF52DD">
        <w:tab/>
      </w:r>
      <w:r w:rsidRPr="00EF52DD">
        <w:tab/>
        <w:t>86</w:t>
      </w:r>
      <w:r w:rsidRPr="00EF52DD">
        <w:tab/>
      </w:r>
      <w:r w:rsidRPr="00EF52DD">
        <w:tab/>
      </w:r>
      <w:r w:rsidRPr="00EF52DD">
        <w:tab/>
      </w:r>
    </w:p>
    <w:p w14:paraId="4772CD94" w14:textId="77777777" w:rsidR="00340CDA" w:rsidRPr="00EF52DD" w:rsidRDefault="00340CDA" w:rsidP="00340CDA">
      <w:proofErr w:type="spellStart"/>
      <w:r w:rsidRPr="00EF52DD">
        <w:t>Minne</w:t>
      </w:r>
      <w:proofErr w:type="spellEnd"/>
      <w:r w:rsidRPr="00EF52DD">
        <w:t xml:space="preserve"> </w:t>
      </w:r>
      <w:proofErr w:type="spellStart"/>
      <w:r w:rsidRPr="00EF52DD">
        <w:t>Lusa</w:t>
      </w:r>
      <w:proofErr w:type="spellEnd"/>
      <w:r w:rsidRPr="00EF52DD">
        <w:t xml:space="preserve"> Elementary School</w:t>
      </w:r>
      <w:r w:rsidRPr="00EF52DD">
        <w:tab/>
        <w:t>4</w:t>
      </w:r>
      <w:r w:rsidRPr="00EF52DD">
        <w:tab/>
      </w:r>
      <w:r w:rsidRPr="00EF52DD">
        <w:tab/>
        <w:t>3</w:t>
      </w:r>
      <w:r w:rsidRPr="00EF52DD">
        <w:tab/>
      </w:r>
      <w:r w:rsidRPr="00EF52DD">
        <w:tab/>
      </w:r>
      <w:r w:rsidRPr="00EF52DD">
        <w:tab/>
        <w:t>85</w:t>
      </w:r>
      <w:r w:rsidRPr="00EF52DD">
        <w:tab/>
      </w:r>
      <w:r w:rsidRPr="00EF52DD">
        <w:tab/>
      </w:r>
      <w:r w:rsidRPr="00EF52DD">
        <w:tab/>
      </w:r>
    </w:p>
    <w:p w14:paraId="1A457C90" w14:textId="77777777" w:rsidR="00340CDA" w:rsidRPr="00EF52DD" w:rsidRDefault="00340CDA" w:rsidP="00340CDA">
      <w:r w:rsidRPr="00EF52DD">
        <w:t>Omaha South Magnet High School</w:t>
      </w:r>
      <w:r w:rsidRPr="00EF52DD">
        <w:tab/>
        <w:t>5</w:t>
      </w:r>
      <w:r w:rsidRPr="00EF52DD">
        <w:tab/>
      </w:r>
      <w:r w:rsidRPr="00EF52DD">
        <w:tab/>
        <w:t>2</w:t>
      </w:r>
      <w:r w:rsidRPr="00EF52DD">
        <w:tab/>
      </w:r>
      <w:r w:rsidRPr="00EF52DD">
        <w:tab/>
      </w:r>
      <w:r w:rsidRPr="00EF52DD">
        <w:tab/>
        <w:t>84</w:t>
      </w:r>
      <w:r w:rsidRPr="00EF52DD">
        <w:tab/>
      </w:r>
      <w:r w:rsidRPr="00EF52DD">
        <w:tab/>
      </w:r>
      <w:r w:rsidRPr="00EF52DD">
        <w:tab/>
      </w:r>
    </w:p>
    <w:p w14:paraId="76C852F6" w14:textId="77777777" w:rsidR="00340CDA" w:rsidRPr="00EF52DD" w:rsidRDefault="00340CDA" w:rsidP="00340CDA"/>
    <w:p w14:paraId="7E239F79" w14:textId="77777777" w:rsidR="00340CDA" w:rsidRDefault="00340CDA" w:rsidP="00340CDA">
      <w:r>
        <w:br w:type="page"/>
      </w:r>
    </w:p>
    <w:p w14:paraId="37A9EBC1" w14:textId="77777777" w:rsidR="00340CDA" w:rsidRPr="00EF52DD" w:rsidRDefault="00340CDA" w:rsidP="00340CDA">
      <w:r w:rsidRPr="00EF52DD">
        <w:lastRenderedPageBreak/>
        <w:t xml:space="preserve">Table </w:t>
      </w:r>
      <w:r>
        <w:t>3</w:t>
      </w:r>
      <w:r w:rsidRPr="00EF52DD">
        <w:t>. Schools located in Lincoln with high FRL.</w:t>
      </w:r>
    </w:p>
    <w:p w14:paraId="0CC61C44" w14:textId="77777777" w:rsidR="00340CDA" w:rsidRDefault="00340CDA" w:rsidP="00340CDA"/>
    <w:p w14:paraId="27370551" w14:textId="77777777" w:rsidR="00340CDA" w:rsidRPr="00467A7C" w:rsidRDefault="00340CDA" w:rsidP="00340CDA">
      <w:pPr>
        <w:rPr>
          <w:u w:val="single"/>
        </w:rPr>
      </w:pPr>
      <w:r>
        <w:tab/>
      </w:r>
      <w:r>
        <w:tab/>
      </w:r>
      <w:r>
        <w:tab/>
      </w:r>
      <w:r>
        <w:tab/>
      </w:r>
      <w:r>
        <w:tab/>
      </w:r>
      <w:r>
        <w:rPr>
          <w:u w:val="single"/>
        </w:rPr>
        <w:t>Categorized as Need Improvement</w:t>
      </w:r>
    </w:p>
    <w:p w14:paraId="04D3B924" w14:textId="77777777" w:rsidR="00340CDA" w:rsidRPr="00EF52DD" w:rsidRDefault="00340CDA" w:rsidP="00340CDA">
      <w:pPr>
        <w:rPr>
          <w:u w:val="single"/>
        </w:rPr>
      </w:pPr>
      <w:r w:rsidRPr="00EF52DD">
        <w:rPr>
          <w:u w:val="single"/>
        </w:rPr>
        <w:t>School</w:t>
      </w:r>
      <w:r w:rsidRPr="00EF52DD">
        <w:rPr>
          <w:u w:val="single"/>
        </w:rPr>
        <w:tab/>
      </w:r>
      <w:r w:rsidRPr="00EF52DD">
        <w:rPr>
          <w:u w:val="single"/>
        </w:rPr>
        <w:tab/>
      </w:r>
      <w:r w:rsidRPr="00EF52DD">
        <w:rPr>
          <w:u w:val="single"/>
        </w:rPr>
        <w:tab/>
      </w:r>
      <w:r w:rsidRPr="00EF52DD">
        <w:rPr>
          <w:u w:val="single"/>
        </w:rPr>
        <w:tab/>
      </w:r>
      <w:r w:rsidRPr="00EF52DD">
        <w:rPr>
          <w:u w:val="single"/>
        </w:rPr>
        <w:tab/>
      </w:r>
      <w:proofErr w:type="spellStart"/>
      <w:r>
        <w:rPr>
          <w:u w:val="single"/>
        </w:rPr>
        <w:t>NeP</w:t>
      </w:r>
      <w:r w:rsidRPr="00EF52DD">
        <w:rPr>
          <w:u w:val="single"/>
        </w:rPr>
        <w:t>AS</w:t>
      </w:r>
      <w:proofErr w:type="spellEnd"/>
      <w:r w:rsidRPr="00EF52DD">
        <w:rPr>
          <w:u w:val="single"/>
        </w:rPr>
        <w:t xml:space="preserve"> Years</w:t>
      </w:r>
      <w:r w:rsidRPr="00EF52DD">
        <w:rPr>
          <w:u w:val="single"/>
        </w:rPr>
        <w:tab/>
      </w:r>
      <w:proofErr w:type="spellStart"/>
      <w:r w:rsidRPr="00EF52DD">
        <w:rPr>
          <w:u w:val="single"/>
        </w:rPr>
        <w:t>AQu</w:t>
      </w:r>
      <w:r>
        <w:rPr>
          <w:u w:val="single"/>
        </w:rPr>
        <w:t>ES</w:t>
      </w:r>
      <w:r w:rsidRPr="00EF52DD">
        <w:rPr>
          <w:u w:val="single"/>
        </w:rPr>
        <w:t>TT</w:t>
      </w:r>
      <w:proofErr w:type="spellEnd"/>
      <w:r w:rsidRPr="00EF52DD">
        <w:rPr>
          <w:u w:val="single"/>
        </w:rPr>
        <w:t xml:space="preserve"> Years</w:t>
      </w:r>
      <w:r w:rsidRPr="00EF52DD">
        <w:rPr>
          <w:u w:val="single"/>
        </w:rPr>
        <w:tab/>
        <w:t>2010-11 %FRL</w:t>
      </w:r>
    </w:p>
    <w:p w14:paraId="49723CD8" w14:textId="77777777" w:rsidR="00340CDA" w:rsidRPr="00EF52DD" w:rsidRDefault="00340CDA" w:rsidP="00340CDA">
      <w:r w:rsidRPr="00EF52DD">
        <w:t>Belmont Elementary School</w:t>
      </w:r>
      <w:r w:rsidRPr="00EF52DD">
        <w:tab/>
      </w:r>
      <w:r w:rsidRPr="00EF52DD">
        <w:tab/>
        <w:t>3</w:t>
      </w:r>
      <w:r w:rsidRPr="00EF52DD">
        <w:tab/>
      </w:r>
      <w:r w:rsidRPr="00EF52DD">
        <w:tab/>
        <w:t>0</w:t>
      </w:r>
      <w:r w:rsidRPr="00EF52DD">
        <w:tab/>
      </w:r>
      <w:r w:rsidRPr="00EF52DD">
        <w:tab/>
      </w:r>
      <w:r w:rsidRPr="00EF52DD">
        <w:tab/>
        <w:t>75</w:t>
      </w:r>
      <w:r w:rsidRPr="00EF52DD">
        <w:tab/>
      </w:r>
      <w:r w:rsidRPr="00EF52DD">
        <w:tab/>
      </w:r>
    </w:p>
    <w:p w14:paraId="3E950F19" w14:textId="77777777" w:rsidR="00340CDA" w:rsidRPr="00EF52DD" w:rsidRDefault="00340CDA" w:rsidP="00340CDA">
      <w:r w:rsidRPr="00EF52DD">
        <w:t>Culler Middle School</w:t>
      </w:r>
      <w:r w:rsidRPr="00EF52DD">
        <w:tab/>
      </w:r>
      <w:r w:rsidRPr="00EF52DD">
        <w:tab/>
      </w:r>
      <w:r w:rsidRPr="00EF52DD">
        <w:tab/>
        <w:t>2</w:t>
      </w:r>
      <w:r w:rsidRPr="00EF52DD">
        <w:tab/>
      </w:r>
      <w:r w:rsidRPr="00EF52DD">
        <w:tab/>
        <w:t>0</w:t>
      </w:r>
      <w:r w:rsidRPr="00EF52DD">
        <w:tab/>
      </w:r>
      <w:r w:rsidRPr="00EF52DD">
        <w:tab/>
      </w:r>
      <w:r w:rsidRPr="00EF52DD">
        <w:tab/>
        <w:t>83</w:t>
      </w:r>
      <w:r w:rsidRPr="00EF52DD">
        <w:tab/>
      </w:r>
      <w:r w:rsidRPr="00EF52DD">
        <w:tab/>
      </w:r>
    </w:p>
    <w:p w14:paraId="777109BF" w14:textId="77777777" w:rsidR="00340CDA" w:rsidRPr="00EF52DD" w:rsidRDefault="00340CDA" w:rsidP="00340CDA">
      <w:r w:rsidRPr="00EF52DD">
        <w:t>Clinton Elementary School</w:t>
      </w:r>
      <w:r w:rsidRPr="00EF52DD">
        <w:tab/>
      </w:r>
      <w:r w:rsidRPr="00EF52DD">
        <w:tab/>
        <w:t>2</w:t>
      </w:r>
      <w:r w:rsidRPr="00EF52DD">
        <w:tab/>
      </w:r>
      <w:r w:rsidRPr="00EF52DD">
        <w:tab/>
        <w:t>1</w:t>
      </w:r>
      <w:r w:rsidRPr="00EF52DD">
        <w:tab/>
      </w:r>
      <w:r w:rsidRPr="00EF52DD">
        <w:tab/>
      </w:r>
      <w:r w:rsidRPr="00EF52DD">
        <w:tab/>
        <w:t>93</w:t>
      </w:r>
      <w:r w:rsidRPr="00EF52DD">
        <w:tab/>
      </w:r>
      <w:r w:rsidRPr="00EF52DD">
        <w:tab/>
      </w:r>
    </w:p>
    <w:p w14:paraId="468FD228" w14:textId="77777777" w:rsidR="00340CDA" w:rsidRPr="00EF52DD" w:rsidRDefault="00340CDA" w:rsidP="00340CDA">
      <w:r w:rsidRPr="00EF52DD">
        <w:t>Everett Elementary School</w:t>
      </w:r>
      <w:r w:rsidRPr="00EF52DD">
        <w:tab/>
      </w:r>
      <w:r w:rsidRPr="00EF52DD">
        <w:tab/>
        <w:t>5</w:t>
      </w:r>
      <w:r w:rsidRPr="00EF52DD">
        <w:tab/>
      </w:r>
      <w:r w:rsidRPr="00EF52DD">
        <w:tab/>
        <w:t>0</w:t>
      </w:r>
      <w:r w:rsidRPr="00EF52DD">
        <w:tab/>
      </w:r>
      <w:r w:rsidRPr="00EF52DD">
        <w:tab/>
      </w:r>
      <w:r w:rsidRPr="00EF52DD">
        <w:tab/>
        <w:t>94</w:t>
      </w:r>
      <w:r w:rsidRPr="00EF52DD">
        <w:tab/>
      </w:r>
      <w:r w:rsidRPr="00EF52DD">
        <w:tab/>
      </w:r>
    </w:p>
    <w:p w14:paraId="167E266B" w14:textId="77777777" w:rsidR="00340CDA" w:rsidRPr="00EF52DD" w:rsidRDefault="00340CDA" w:rsidP="00340CDA">
      <w:r w:rsidRPr="00EF52DD">
        <w:t>Lincoln High School</w:t>
      </w:r>
      <w:r w:rsidRPr="00EF52DD">
        <w:tab/>
      </w:r>
      <w:r w:rsidRPr="00EF52DD">
        <w:tab/>
      </w:r>
      <w:r w:rsidRPr="00EF52DD">
        <w:tab/>
        <w:t>5</w:t>
      </w:r>
      <w:r w:rsidRPr="00EF52DD">
        <w:tab/>
      </w:r>
      <w:r w:rsidRPr="00EF52DD">
        <w:tab/>
        <w:t>0</w:t>
      </w:r>
      <w:r w:rsidRPr="00EF52DD">
        <w:tab/>
      </w:r>
      <w:r w:rsidRPr="00EF52DD">
        <w:tab/>
      </w:r>
      <w:r w:rsidRPr="00EF52DD">
        <w:tab/>
        <w:t>60</w:t>
      </w:r>
      <w:r w:rsidRPr="00EF52DD">
        <w:tab/>
      </w:r>
      <w:r w:rsidRPr="00EF52DD">
        <w:tab/>
      </w:r>
    </w:p>
    <w:p w14:paraId="0094A134" w14:textId="77777777" w:rsidR="00340CDA" w:rsidRPr="00EF52DD" w:rsidRDefault="00340CDA" w:rsidP="00340CDA">
      <w:r w:rsidRPr="00EF52DD">
        <w:t>Lincoln Northeast High School</w:t>
      </w:r>
      <w:r w:rsidRPr="00EF52DD">
        <w:tab/>
        <w:t>1</w:t>
      </w:r>
      <w:r w:rsidRPr="00EF52DD">
        <w:tab/>
      </w:r>
      <w:r w:rsidRPr="00EF52DD">
        <w:tab/>
        <w:t>2</w:t>
      </w:r>
      <w:r w:rsidRPr="00EF52DD">
        <w:tab/>
      </w:r>
      <w:r w:rsidRPr="00EF52DD">
        <w:tab/>
      </w:r>
      <w:r w:rsidRPr="00EF52DD">
        <w:tab/>
        <w:t>51</w:t>
      </w:r>
      <w:r w:rsidRPr="00EF52DD">
        <w:tab/>
      </w:r>
      <w:r w:rsidRPr="00EF52DD">
        <w:tab/>
      </w:r>
    </w:p>
    <w:p w14:paraId="60F9028F" w14:textId="77777777" w:rsidR="00340CDA" w:rsidRPr="00EF52DD" w:rsidRDefault="00340CDA" w:rsidP="00340CDA">
      <w:r w:rsidRPr="00EF52DD">
        <w:t>Park Middle School</w:t>
      </w:r>
      <w:r w:rsidRPr="00EF52DD">
        <w:tab/>
      </w:r>
      <w:r w:rsidRPr="00EF52DD">
        <w:tab/>
      </w:r>
      <w:r w:rsidRPr="00EF52DD">
        <w:tab/>
        <w:t>3</w:t>
      </w:r>
      <w:r w:rsidRPr="00EF52DD">
        <w:tab/>
      </w:r>
      <w:r w:rsidRPr="00EF52DD">
        <w:tab/>
        <w:t>0</w:t>
      </w:r>
      <w:r w:rsidRPr="00EF52DD">
        <w:tab/>
      </w:r>
      <w:r w:rsidRPr="00EF52DD">
        <w:tab/>
      </w:r>
      <w:r w:rsidRPr="00EF52DD">
        <w:tab/>
        <w:t>73</w:t>
      </w:r>
      <w:r w:rsidRPr="00EF52DD">
        <w:tab/>
      </w:r>
      <w:r w:rsidRPr="00EF52DD">
        <w:tab/>
      </w:r>
    </w:p>
    <w:p w14:paraId="4BE40A68" w14:textId="77777777" w:rsidR="00340CDA" w:rsidRPr="00EF52DD" w:rsidRDefault="00340CDA" w:rsidP="00340CDA"/>
    <w:p w14:paraId="067010A6" w14:textId="77777777" w:rsidR="00340CDA" w:rsidRDefault="00340CDA" w:rsidP="00340CDA">
      <w:r>
        <w:br w:type="page"/>
      </w:r>
    </w:p>
    <w:p w14:paraId="143B741E" w14:textId="77777777" w:rsidR="00340CDA" w:rsidRDefault="00340CDA" w:rsidP="00340CDA">
      <w:r w:rsidRPr="00EF52DD">
        <w:lastRenderedPageBreak/>
        <w:t xml:space="preserve">Table </w:t>
      </w:r>
      <w:r>
        <w:t>4</w:t>
      </w:r>
      <w:r w:rsidRPr="00EF52DD">
        <w:t>. Schools located near meat packing plants.</w:t>
      </w:r>
    </w:p>
    <w:p w14:paraId="47E26523" w14:textId="77777777" w:rsidR="00340CDA" w:rsidRPr="00EF52DD" w:rsidRDefault="00340CDA" w:rsidP="00340CDA"/>
    <w:p w14:paraId="534EB912" w14:textId="77777777" w:rsidR="00340CDA" w:rsidRPr="00467A7C" w:rsidRDefault="00340CDA" w:rsidP="00340CDA">
      <w:pPr>
        <w:rPr>
          <w:u w:val="single"/>
        </w:rPr>
      </w:pPr>
      <w:r>
        <w:tab/>
      </w:r>
      <w:r>
        <w:tab/>
      </w:r>
      <w:r>
        <w:tab/>
      </w:r>
      <w:r>
        <w:tab/>
      </w:r>
      <w:r>
        <w:tab/>
      </w:r>
      <w:r>
        <w:rPr>
          <w:u w:val="single"/>
        </w:rPr>
        <w:t>Categorized as Need Improvement</w:t>
      </w:r>
    </w:p>
    <w:p w14:paraId="0E1EBAB6" w14:textId="77777777" w:rsidR="00340CDA" w:rsidRPr="00EF52DD" w:rsidRDefault="00340CDA" w:rsidP="00340CDA">
      <w:pPr>
        <w:rPr>
          <w:u w:val="single"/>
        </w:rPr>
      </w:pPr>
      <w:r w:rsidRPr="00EF52DD">
        <w:rPr>
          <w:u w:val="single"/>
        </w:rPr>
        <w:t>School</w:t>
      </w:r>
      <w:r w:rsidRPr="00EF52DD">
        <w:rPr>
          <w:u w:val="single"/>
        </w:rPr>
        <w:tab/>
      </w:r>
      <w:r w:rsidRPr="00EF52DD">
        <w:rPr>
          <w:u w:val="single"/>
        </w:rPr>
        <w:tab/>
      </w:r>
      <w:r w:rsidRPr="00EF52DD">
        <w:rPr>
          <w:u w:val="single"/>
        </w:rPr>
        <w:tab/>
      </w:r>
      <w:r w:rsidRPr="00EF52DD">
        <w:rPr>
          <w:u w:val="single"/>
        </w:rPr>
        <w:tab/>
      </w:r>
      <w:r w:rsidRPr="00EF52DD">
        <w:rPr>
          <w:u w:val="single"/>
        </w:rPr>
        <w:tab/>
      </w:r>
      <w:proofErr w:type="spellStart"/>
      <w:r>
        <w:rPr>
          <w:u w:val="single"/>
        </w:rPr>
        <w:t>NeP</w:t>
      </w:r>
      <w:r w:rsidRPr="00EF52DD">
        <w:rPr>
          <w:u w:val="single"/>
        </w:rPr>
        <w:t>AS</w:t>
      </w:r>
      <w:proofErr w:type="spellEnd"/>
      <w:r w:rsidRPr="00EF52DD">
        <w:rPr>
          <w:u w:val="single"/>
        </w:rPr>
        <w:t xml:space="preserve"> Years</w:t>
      </w:r>
      <w:r w:rsidRPr="00EF52DD">
        <w:rPr>
          <w:u w:val="single"/>
        </w:rPr>
        <w:tab/>
      </w:r>
      <w:proofErr w:type="spellStart"/>
      <w:r w:rsidRPr="00EF52DD">
        <w:rPr>
          <w:u w:val="single"/>
        </w:rPr>
        <w:t>AQu</w:t>
      </w:r>
      <w:r>
        <w:rPr>
          <w:u w:val="single"/>
        </w:rPr>
        <w:t>ES</w:t>
      </w:r>
      <w:r w:rsidRPr="00EF52DD">
        <w:rPr>
          <w:u w:val="single"/>
        </w:rPr>
        <w:t>TT</w:t>
      </w:r>
      <w:proofErr w:type="spellEnd"/>
      <w:r w:rsidRPr="00EF52DD">
        <w:rPr>
          <w:u w:val="single"/>
        </w:rPr>
        <w:t xml:space="preserve"> Years</w:t>
      </w:r>
      <w:r w:rsidRPr="00EF52DD">
        <w:rPr>
          <w:u w:val="single"/>
        </w:rPr>
        <w:tab/>
        <w:t>2010-11 %FRL</w:t>
      </w:r>
    </w:p>
    <w:p w14:paraId="4BEDA36B" w14:textId="77777777" w:rsidR="00340CDA" w:rsidRPr="00EF52DD" w:rsidRDefault="00340CDA" w:rsidP="00340CDA">
      <w:r w:rsidRPr="00EF52DD">
        <w:t>Bryan Elementary School</w:t>
      </w:r>
      <w:r w:rsidRPr="00EF52DD">
        <w:tab/>
      </w:r>
      <w:r w:rsidRPr="00EF52DD">
        <w:tab/>
        <w:t>2</w:t>
      </w:r>
      <w:r w:rsidRPr="00EF52DD">
        <w:tab/>
      </w:r>
      <w:r w:rsidRPr="00EF52DD">
        <w:tab/>
        <w:t>0</w:t>
      </w:r>
      <w:r w:rsidRPr="00EF52DD">
        <w:tab/>
      </w:r>
      <w:r w:rsidRPr="00EF52DD">
        <w:tab/>
      </w:r>
      <w:r w:rsidRPr="00EF52DD">
        <w:tab/>
        <w:t>64</w:t>
      </w:r>
      <w:r w:rsidRPr="00EF52DD">
        <w:tab/>
      </w:r>
      <w:r w:rsidRPr="00EF52DD">
        <w:tab/>
      </w:r>
    </w:p>
    <w:p w14:paraId="76A32EC3" w14:textId="77777777" w:rsidR="00340CDA" w:rsidRPr="00EF52DD" w:rsidRDefault="00340CDA" w:rsidP="00340CDA">
      <w:r w:rsidRPr="00EF52DD">
        <w:t>Crete Elementary School</w:t>
      </w:r>
      <w:r w:rsidRPr="00EF52DD">
        <w:tab/>
      </w:r>
      <w:r w:rsidRPr="00EF52DD">
        <w:tab/>
        <w:t>4</w:t>
      </w:r>
      <w:r w:rsidRPr="00EF52DD">
        <w:tab/>
      </w:r>
      <w:r w:rsidRPr="00EF52DD">
        <w:tab/>
        <w:t>0</w:t>
      </w:r>
      <w:r w:rsidRPr="00EF52DD">
        <w:tab/>
      </w:r>
      <w:r w:rsidRPr="00EF52DD">
        <w:tab/>
      </w:r>
      <w:r w:rsidRPr="00EF52DD">
        <w:tab/>
        <w:t>56</w:t>
      </w:r>
      <w:r w:rsidRPr="00EF52DD">
        <w:tab/>
      </w:r>
      <w:r w:rsidRPr="00EF52DD">
        <w:tab/>
      </w:r>
    </w:p>
    <w:p w14:paraId="6D45E872" w14:textId="77777777" w:rsidR="00340CDA" w:rsidRPr="00EF52DD" w:rsidRDefault="00340CDA" w:rsidP="00340CDA">
      <w:r w:rsidRPr="00EF52DD">
        <w:t>Gibbon High School</w:t>
      </w:r>
      <w:r w:rsidRPr="00EF52DD">
        <w:tab/>
      </w:r>
      <w:r w:rsidRPr="00EF52DD">
        <w:tab/>
      </w:r>
      <w:r w:rsidRPr="00EF52DD">
        <w:tab/>
        <w:t>0</w:t>
      </w:r>
      <w:r w:rsidRPr="00EF52DD">
        <w:tab/>
      </w:r>
      <w:r w:rsidRPr="00EF52DD">
        <w:tab/>
        <w:t>2</w:t>
      </w:r>
      <w:r w:rsidRPr="00EF52DD">
        <w:tab/>
      </w:r>
      <w:r w:rsidRPr="00EF52DD">
        <w:tab/>
      </w:r>
      <w:r w:rsidRPr="00EF52DD">
        <w:tab/>
        <w:t>45</w:t>
      </w:r>
      <w:r w:rsidRPr="00EF52DD">
        <w:tab/>
      </w:r>
      <w:r w:rsidRPr="00EF52DD">
        <w:tab/>
      </w:r>
    </w:p>
    <w:p w14:paraId="2DF35620" w14:textId="77777777" w:rsidR="00340CDA" w:rsidRPr="00EF52DD" w:rsidRDefault="00340CDA" w:rsidP="00340CDA">
      <w:r w:rsidRPr="00EF52DD">
        <w:t>Madison Middle School</w:t>
      </w:r>
      <w:r w:rsidRPr="00EF52DD">
        <w:tab/>
      </w:r>
      <w:r w:rsidRPr="00EF52DD">
        <w:tab/>
        <w:t>3</w:t>
      </w:r>
      <w:r w:rsidRPr="00EF52DD">
        <w:tab/>
      </w:r>
      <w:r w:rsidRPr="00EF52DD">
        <w:tab/>
        <w:t>3</w:t>
      </w:r>
      <w:r w:rsidRPr="00EF52DD">
        <w:tab/>
      </w:r>
      <w:r w:rsidRPr="00EF52DD">
        <w:tab/>
      </w:r>
      <w:r w:rsidRPr="00EF52DD">
        <w:tab/>
        <w:t>71</w:t>
      </w:r>
      <w:r w:rsidRPr="00EF52DD">
        <w:tab/>
      </w:r>
    </w:p>
    <w:p w14:paraId="6B3BD513" w14:textId="77777777" w:rsidR="00340CDA" w:rsidRPr="00EF52DD" w:rsidRDefault="00340CDA" w:rsidP="00340CDA">
      <w:r w:rsidRPr="00EF52DD">
        <w:t>Schuyler High School</w:t>
      </w:r>
      <w:r w:rsidRPr="00EF52DD">
        <w:tab/>
      </w:r>
      <w:r w:rsidRPr="00EF52DD">
        <w:tab/>
      </w:r>
      <w:r w:rsidRPr="00EF52DD">
        <w:tab/>
        <w:t>4</w:t>
      </w:r>
      <w:r w:rsidRPr="00EF52DD">
        <w:tab/>
      </w:r>
      <w:r w:rsidRPr="00EF52DD">
        <w:tab/>
        <w:t>3</w:t>
      </w:r>
      <w:r w:rsidRPr="00EF52DD">
        <w:tab/>
      </w:r>
      <w:r w:rsidRPr="00EF52DD">
        <w:tab/>
      </w:r>
      <w:r w:rsidRPr="00EF52DD">
        <w:tab/>
        <w:t>63</w:t>
      </w:r>
      <w:r w:rsidRPr="00EF52DD">
        <w:tab/>
      </w:r>
      <w:r w:rsidRPr="00EF52DD">
        <w:tab/>
      </w:r>
    </w:p>
    <w:p w14:paraId="716A36BB" w14:textId="77777777" w:rsidR="00340CDA" w:rsidRPr="00EF52DD" w:rsidRDefault="00340CDA" w:rsidP="00340CDA">
      <w:r w:rsidRPr="00EF52DD">
        <w:t>Cardinal Elementary School</w:t>
      </w:r>
      <w:r w:rsidRPr="00EF52DD">
        <w:tab/>
      </w:r>
      <w:r w:rsidRPr="00EF52DD">
        <w:tab/>
        <w:t>4</w:t>
      </w:r>
      <w:r w:rsidRPr="00EF52DD">
        <w:tab/>
      </w:r>
      <w:r w:rsidRPr="00EF52DD">
        <w:tab/>
        <w:t>0</w:t>
      </w:r>
      <w:r w:rsidRPr="00EF52DD">
        <w:tab/>
      </w:r>
      <w:r w:rsidRPr="00EF52DD">
        <w:tab/>
      </w:r>
      <w:r w:rsidRPr="00EF52DD">
        <w:tab/>
        <w:t>66</w:t>
      </w:r>
      <w:r w:rsidRPr="00EF52DD">
        <w:tab/>
      </w:r>
      <w:r w:rsidRPr="00EF52DD">
        <w:tab/>
      </w:r>
    </w:p>
    <w:p w14:paraId="12C29574" w14:textId="77777777" w:rsidR="00340CDA" w:rsidRPr="00EF52DD" w:rsidRDefault="00340CDA" w:rsidP="00340CDA"/>
    <w:p w14:paraId="4DEC3DCF" w14:textId="77777777" w:rsidR="00340CDA" w:rsidRPr="00EF52DD" w:rsidRDefault="00340CDA" w:rsidP="00340CDA"/>
    <w:p w14:paraId="7B0C10A7" w14:textId="77777777" w:rsidR="00340CDA" w:rsidRDefault="00340CDA" w:rsidP="00340CDA">
      <w:r>
        <w:br w:type="page"/>
      </w:r>
    </w:p>
    <w:p w14:paraId="18E7CA6F" w14:textId="77777777" w:rsidR="00340CDA" w:rsidRPr="00EF52DD" w:rsidRDefault="00340CDA" w:rsidP="00340CDA">
      <w:r w:rsidRPr="00EF52DD">
        <w:lastRenderedPageBreak/>
        <w:t xml:space="preserve">Table </w:t>
      </w:r>
      <w:r>
        <w:t>5</w:t>
      </w:r>
      <w:r w:rsidRPr="00EF52DD">
        <w:t>. Schools located on Native American reservations.</w:t>
      </w:r>
    </w:p>
    <w:p w14:paraId="0F4DD03B" w14:textId="77777777" w:rsidR="00340CDA" w:rsidRPr="00EF52DD" w:rsidRDefault="00340CDA" w:rsidP="00340CDA"/>
    <w:p w14:paraId="373A1AFC" w14:textId="77777777" w:rsidR="00340CDA" w:rsidRPr="00467A7C" w:rsidRDefault="00340CDA" w:rsidP="00340CDA">
      <w:pPr>
        <w:rPr>
          <w:u w:val="single"/>
        </w:rPr>
      </w:pPr>
      <w:r>
        <w:tab/>
      </w:r>
      <w:r>
        <w:tab/>
      </w:r>
      <w:r>
        <w:tab/>
      </w:r>
      <w:r>
        <w:tab/>
      </w:r>
      <w:r>
        <w:tab/>
      </w:r>
      <w:r>
        <w:rPr>
          <w:u w:val="single"/>
        </w:rPr>
        <w:t>Categorized as Need Improvement</w:t>
      </w:r>
    </w:p>
    <w:p w14:paraId="4B2A0E30" w14:textId="77777777" w:rsidR="00340CDA" w:rsidRPr="00EF52DD" w:rsidRDefault="00340CDA" w:rsidP="00340CDA">
      <w:pPr>
        <w:rPr>
          <w:u w:val="single"/>
        </w:rPr>
      </w:pPr>
      <w:r w:rsidRPr="00EF52DD">
        <w:rPr>
          <w:u w:val="single"/>
        </w:rPr>
        <w:t>School</w:t>
      </w:r>
      <w:r w:rsidRPr="00EF52DD">
        <w:rPr>
          <w:u w:val="single"/>
        </w:rPr>
        <w:tab/>
      </w:r>
      <w:r w:rsidRPr="00EF52DD">
        <w:rPr>
          <w:u w:val="single"/>
        </w:rPr>
        <w:tab/>
      </w:r>
      <w:r w:rsidRPr="00EF52DD">
        <w:rPr>
          <w:u w:val="single"/>
        </w:rPr>
        <w:tab/>
      </w:r>
      <w:r w:rsidRPr="00EF52DD">
        <w:rPr>
          <w:u w:val="single"/>
        </w:rPr>
        <w:tab/>
      </w:r>
      <w:r w:rsidRPr="00EF52DD">
        <w:rPr>
          <w:u w:val="single"/>
        </w:rPr>
        <w:tab/>
      </w:r>
      <w:proofErr w:type="spellStart"/>
      <w:r>
        <w:rPr>
          <w:u w:val="single"/>
        </w:rPr>
        <w:t>NeP</w:t>
      </w:r>
      <w:r w:rsidRPr="00EF52DD">
        <w:rPr>
          <w:u w:val="single"/>
        </w:rPr>
        <w:t>AS</w:t>
      </w:r>
      <w:proofErr w:type="spellEnd"/>
      <w:r w:rsidRPr="00EF52DD">
        <w:rPr>
          <w:u w:val="single"/>
        </w:rPr>
        <w:t xml:space="preserve"> Years</w:t>
      </w:r>
      <w:r w:rsidRPr="00EF52DD">
        <w:rPr>
          <w:u w:val="single"/>
        </w:rPr>
        <w:tab/>
      </w:r>
      <w:proofErr w:type="spellStart"/>
      <w:r w:rsidRPr="00EF52DD">
        <w:rPr>
          <w:u w:val="single"/>
        </w:rPr>
        <w:t>AQu</w:t>
      </w:r>
      <w:r>
        <w:rPr>
          <w:u w:val="single"/>
        </w:rPr>
        <w:t>ES</w:t>
      </w:r>
      <w:r w:rsidRPr="00EF52DD">
        <w:rPr>
          <w:u w:val="single"/>
        </w:rPr>
        <w:t>TT</w:t>
      </w:r>
      <w:proofErr w:type="spellEnd"/>
      <w:r w:rsidRPr="00EF52DD">
        <w:rPr>
          <w:u w:val="single"/>
        </w:rPr>
        <w:t xml:space="preserve"> Years</w:t>
      </w:r>
      <w:r w:rsidRPr="00EF52DD">
        <w:rPr>
          <w:u w:val="single"/>
        </w:rPr>
        <w:tab/>
        <w:t>2010-11 %FRL</w:t>
      </w:r>
    </w:p>
    <w:p w14:paraId="276F1CB5" w14:textId="77777777" w:rsidR="00340CDA" w:rsidRPr="00EF52DD" w:rsidRDefault="00340CDA" w:rsidP="00340CDA">
      <w:r w:rsidRPr="00EF52DD">
        <w:t>Santee High School</w:t>
      </w:r>
      <w:r w:rsidRPr="00EF52DD">
        <w:tab/>
      </w:r>
      <w:r w:rsidRPr="00EF52DD">
        <w:tab/>
      </w:r>
      <w:r w:rsidRPr="00EF52DD">
        <w:tab/>
        <w:t>5</w:t>
      </w:r>
      <w:r w:rsidRPr="00EF52DD">
        <w:tab/>
      </w:r>
      <w:r w:rsidRPr="00EF52DD">
        <w:tab/>
        <w:t>3</w:t>
      </w:r>
      <w:r w:rsidRPr="00EF52DD">
        <w:tab/>
      </w:r>
      <w:r w:rsidRPr="00EF52DD">
        <w:tab/>
      </w:r>
      <w:r w:rsidRPr="00EF52DD">
        <w:tab/>
        <w:t>80</w:t>
      </w:r>
      <w:r w:rsidRPr="00EF52DD">
        <w:tab/>
      </w:r>
      <w:r w:rsidRPr="00EF52DD">
        <w:tab/>
      </w:r>
    </w:p>
    <w:p w14:paraId="6CAD1A5A" w14:textId="77777777" w:rsidR="00340CDA" w:rsidRPr="00EF52DD" w:rsidRDefault="00340CDA" w:rsidP="00340CDA">
      <w:r>
        <w:t>Omaha</w:t>
      </w:r>
      <w:r w:rsidRPr="00EF52DD">
        <w:t xml:space="preserve"> Nation High School</w:t>
      </w:r>
      <w:r w:rsidRPr="00EF52DD">
        <w:tab/>
      </w:r>
      <w:r>
        <w:tab/>
      </w:r>
      <w:r w:rsidRPr="00EF52DD">
        <w:t>5</w:t>
      </w:r>
      <w:r w:rsidRPr="00EF52DD">
        <w:tab/>
      </w:r>
      <w:r w:rsidRPr="00EF52DD">
        <w:tab/>
        <w:t>3</w:t>
      </w:r>
      <w:r w:rsidRPr="00EF52DD">
        <w:tab/>
      </w:r>
      <w:r w:rsidRPr="00EF52DD">
        <w:tab/>
      </w:r>
      <w:r w:rsidRPr="00EF52DD">
        <w:tab/>
        <w:t>90</w:t>
      </w:r>
      <w:r w:rsidRPr="00EF52DD">
        <w:tab/>
      </w:r>
      <w:r w:rsidRPr="00EF52DD">
        <w:tab/>
      </w:r>
    </w:p>
    <w:p w14:paraId="47D8DD4A" w14:textId="77777777" w:rsidR="00340CDA" w:rsidRPr="00EF52DD" w:rsidRDefault="00340CDA" w:rsidP="00340CDA">
      <w:r w:rsidRPr="00EF52DD">
        <w:t>Winnebago High School</w:t>
      </w:r>
      <w:r w:rsidRPr="00EF52DD">
        <w:tab/>
      </w:r>
      <w:r w:rsidRPr="00EF52DD">
        <w:tab/>
        <w:t>3</w:t>
      </w:r>
      <w:r w:rsidRPr="00EF52DD">
        <w:tab/>
      </w:r>
      <w:r w:rsidRPr="00EF52DD">
        <w:tab/>
        <w:t>3</w:t>
      </w:r>
      <w:r w:rsidRPr="00EF52DD">
        <w:tab/>
      </w:r>
      <w:r w:rsidRPr="00EF52DD">
        <w:tab/>
      </w:r>
      <w:r w:rsidRPr="00EF52DD">
        <w:tab/>
        <w:t>7</w:t>
      </w:r>
      <w:r>
        <w:t>8</w:t>
      </w:r>
      <w:r w:rsidRPr="00EF52DD">
        <w:tab/>
      </w:r>
      <w:r w:rsidRPr="00EF52DD">
        <w:tab/>
      </w:r>
    </w:p>
    <w:p w14:paraId="65AE3D9E" w14:textId="77777777" w:rsidR="00340CDA" w:rsidRPr="00EF52DD" w:rsidRDefault="00340CDA" w:rsidP="00340CDA">
      <w:proofErr w:type="spellStart"/>
      <w:r w:rsidRPr="00EF52DD">
        <w:t>Walthill</w:t>
      </w:r>
      <w:proofErr w:type="spellEnd"/>
      <w:r w:rsidRPr="00EF52DD">
        <w:t xml:space="preserve"> High School</w:t>
      </w:r>
      <w:r w:rsidRPr="00EF52DD">
        <w:tab/>
      </w:r>
      <w:r w:rsidRPr="00EF52DD">
        <w:tab/>
      </w:r>
      <w:r w:rsidRPr="00EF52DD">
        <w:tab/>
        <w:t>5</w:t>
      </w:r>
      <w:r w:rsidRPr="00EF52DD">
        <w:tab/>
      </w:r>
      <w:r w:rsidRPr="00EF52DD">
        <w:tab/>
        <w:t>3</w:t>
      </w:r>
      <w:r w:rsidRPr="00EF52DD">
        <w:tab/>
      </w:r>
      <w:r w:rsidRPr="00EF52DD">
        <w:tab/>
      </w:r>
      <w:r w:rsidRPr="00EF52DD">
        <w:tab/>
        <w:t>89</w:t>
      </w:r>
      <w:r w:rsidRPr="00EF52DD">
        <w:tab/>
      </w:r>
      <w:r w:rsidRPr="00EF52DD">
        <w:tab/>
      </w:r>
    </w:p>
    <w:p w14:paraId="687EB927" w14:textId="77777777" w:rsidR="00340CDA" w:rsidRPr="00EF52DD" w:rsidRDefault="00340CDA" w:rsidP="00340CDA"/>
    <w:p w14:paraId="6825FB2F" w14:textId="77777777" w:rsidR="00340CDA" w:rsidRDefault="00340CDA" w:rsidP="00340CDA">
      <w:pPr>
        <w:sectPr w:rsidR="00340CDA" w:rsidSect="00340CDA">
          <w:pgSz w:w="12240" w:h="15840"/>
          <w:pgMar w:top="1440" w:right="1440" w:bottom="1440" w:left="1440" w:header="720" w:footer="720" w:gutter="0"/>
          <w:cols w:space="720"/>
          <w:docGrid w:linePitch="360"/>
        </w:sectPr>
      </w:pPr>
    </w:p>
    <w:p w14:paraId="5AA82EC2" w14:textId="563C7374" w:rsidR="00340CDA" w:rsidRPr="00EF52DD" w:rsidRDefault="00340CDA" w:rsidP="00340CDA">
      <w:r w:rsidRPr="00EF52DD">
        <w:lastRenderedPageBreak/>
        <w:t xml:space="preserve">Table </w:t>
      </w:r>
      <w:r>
        <w:t>6</w:t>
      </w:r>
      <w:r w:rsidRPr="00EF52DD">
        <w:t>. Schools that are in smaller cities, less than 30% minority, with high FRL.</w:t>
      </w:r>
    </w:p>
    <w:p w14:paraId="01169CED" w14:textId="77777777" w:rsidR="00340CDA" w:rsidRPr="00EF52DD" w:rsidRDefault="00340CDA" w:rsidP="00340CDA"/>
    <w:p w14:paraId="5B8ED868" w14:textId="77777777" w:rsidR="00340CDA" w:rsidRPr="00467A7C" w:rsidRDefault="00340CDA" w:rsidP="00340CDA">
      <w:pPr>
        <w:rPr>
          <w:u w:val="single"/>
        </w:rPr>
      </w:pPr>
      <w:r>
        <w:tab/>
      </w:r>
      <w:r>
        <w:tab/>
      </w:r>
      <w:r>
        <w:tab/>
      </w:r>
      <w:r>
        <w:tab/>
      </w:r>
      <w:r>
        <w:tab/>
      </w:r>
      <w:r>
        <w:rPr>
          <w:u w:val="single"/>
        </w:rPr>
        <w:t>Categorized as Need Improvement</w:t>
      </w:r>
    </w:p>
    <w:p w14:paraId="12110359" w14:textId="77777777" w:rsidR="00340CDA" w:rsidRPr="00EF52DD" w:rsidRDefault="00340CDA" w:rsidP="00340CDA">
      <w:pPr>
        <w:rPr>
          <w:u w:val="single"/>
        </w:rPr>
      </w:pPr>
      <w:r w:rsidRPr="00EF52DD">
        <w:rPr>
          <w:u w:val="single"/>
        </w:rPr>
        <w:t>School</w:t>
      </w:r>
      <w:r w:rsidRPr="00EF52DD">
        <w:rPr>
          <w:u w:val="single"/>
        </w:rPr>
        <w:tab/>
      </w:r>
      <w:r w:rsidRPr="00EF52DD">
        <w:rPr>
          <w:u w:val="single"/>
        </w:rPr>
        <w:tab/>
      </w:r>
      <w:r w:rsidRPr="00EF52DD">
        <w:rPr>
          <w:u w:val="single"/>
        </w:rPr>
        <w:tab/>
      </w:r>
      <w:r w:rsidRPr="00EF52DD">
        <w:rPr>
          <w:u w:val="single"/>
        </w:rPr>
        <w:tab/>
      </w:r>
      <w:r w:rsidRPr="00EF52DD">
        <w:rPr>
          <w:u w:val="single"/>
        </w:rPr>
        <w:tab/>
      </w:r>
      <w:proofErr w:type="spellStart"/>
      <w:r>
        <w:rPr>
          <w:u w:val="single"/>
        </w:rPr>
        <w:t>NeP</w:t>
      </w:r>
      <w:r w:rsidRPr="00EF52DD">
        <w:rPr>
          <w:u w:val="single"/>
        </w:rPr>
        <w:t>AS</w:t>
      </w:r>
      <w:proofErr w:type="spellEnd"/>
      <w:r w:rsidRPr="00EF52DD">
        <w:rPr>
          <w:u w:val="single"/>
        </w:rPr>
        <w:t xml:space="preserve"> Years</w:t>
      </w:r>
      <w:r w:rsidRPr="00EF52DD">
        <w:rPr>
          <w:u w:val="single"/>
        </w:rPr>
        <w:tab/>
      </w:r>
      <w:proofErr w:type="spellStart"/>
      <w:r w:rsidRPr="00EF52DD">
        <w:rPr>
          <w:u w:val="single"/>
        </w:rPr>
        <w:t>AQu</w:t>
      </w:r>
      <w:r>
        <w:rPr>
          <w:u w:val="single"/>
        </w:rPr>
        <w:t>ES</w:t>
      </w:r>
      <w:r w:rsidRPr="00EF52DD">
        <w:rPr>
          <w:u w:val="single"/>
        </w:rPr>
        <w:t>TT</w:t>
      </w:r>
      <w:proofErr w:type="spellEnd"/>
      <w:r w:rsidRPr="00EF52DD">
        <w:rPr>
          <w:u w:val="single"/>
        </w:rPr>
        <w:t xml:space="preserve"> Years</w:t>
      </w:r>
      <w:r w:rsidRPr="00EF52DD">
        <w:rPr>
          <w:u w:val="single"/>
        </w:rPr>
        <w:tab/>
        <w:t>2010-11 %FRL</w:t>
      </w:r>
      <w:r>
        <w:rPr>
          <w:u w:val="single"/>
        </w:rPr>
        <w:tab/>
      </w:r>
      <w:r w:rsidRPr="00EF52DD">
        <w:rPr>
          <w:u w:val="single"/>
        </w:rPr>
        <w:t>% Minority</w:t>
      </w:r>
    </w:p>
    <w:p w14:paraId="31BA2C0C" w14:textId="77777777" w:rsidR="00340CDA" w:rsidRPr="00EF52DD" w:rsidRDefault="00340CDA" w:rsidP="00340CDA">
      <w:r w:rsidRPr="00EF52DD">
        <w:t>Alcott Elementary School</w:t>
      </w:r>
      <w:r w:rsidRPr="00EF52DD">
        <w:tab/>
      </w:r>
      <w:r w:rsidRPr="00EF52DD">
        <w:tab/>
        <w:t>4</w:t>
      </w:r>
      <w:r w:rsidRPr="00EF52DD">
        <w:tab/>
      </w:r>
      <w:r w:rsidRPr="00EF52DD">
        <w:tab/>
        <w:t>0</w:t>
      </w:r>
      <w:r w:rsidRPr="00EF52DD">
        <w:tab/>
      </w:r>
      <w:r w:rsidRPr="00EF52DD">
        <w:tab/>
      </w:r>
      <w:r w:rsidRPr="00EF52DD">
        <w:tab/>
        <w:t>76</w:t>
      </w:r>
      <w:r w:rsidRPr="00EF52DD">
        <w:tab/>
      </w:r>
      <w:r>
        <w:tab/>
      </w:r>
      <w:r>
        <w:tab/>
      </w:r>
      <w:r w:rsidRPr="00EF52DD">
        <w:t>21</w:t>
      </w:r>
      <w:r w:rsidRPr="00EF52DD">
        <w:tab/>
      </w:r>
      <w:r w:rsidRPr="00EF52DD">
        <w:tab/>
      </w:r>
    </w:p>
    <w:p w14:paraId="4E38A379" w14:textId="77777777" w:rsidR="00340CDA" w:rsidRPr="00EF52DD" w:rsidRDefault="00340CDA" w:rsidP="00340CDA">
      <w:r w:rsidRPr="00EF52DD">
        <w:t>Banner County High School</w:t>
      </w:r>
      <w:r w:rsidRPr="00EF52DD">
        <w:tab/>
      </w:r>
      <w:r w:rsidRPr="00EF52DD">
        <w:tab/>
        <w:t>2</w:t>
      </w:r>
      <w:r w:rsidRPr="00EF52DD">
        <w:tab/>
      </w:r>
      <w:r w:rsidRPr="00EF52DD">
        <w:tab/>
        <w:t>0</w:t>
      </w:r>
      <w:r w:rsidRPr="00EF52DD">
        <w:tab/>
      </w:r>
      <w:r w:rsidRPr="00EF52DD">
        <w:tab/>
      </w:r>
      <w:r w:rsidRPr="00EF52DD">
        <w:tab/>
        <w:t>48</w:t>
      </w:r>
      <w:r w:rsidRPr="00EF52DD">
        <w:tab/>
      </w:r>
      <w:r>
        <w:tab/>
      </w:r>
      <w:r>
        <w:tab/>
      </w:r>
      <w:r w:rsidRPr="00EF52DD">
        <w:t>17</w:t>
      </w:r>
      <w:r w:rsidRPr="00EF52DD">
        <w:tab/>
      </w:r>
      <w:r w:rsidRPr="00EF52DD">
        <w:tab/>
      </w:r>
    </w:p>
    <w:p w14:paraId="6DE42E00" w14:textId="77777777" w:rsidR="00340CDA" w:rsidRPr="00EF52DD" w:rsidRDefault="00340CDA" w:rsidP="00340CDA">
      <w:r w:rsidRPr="00EF52DD">
        <w:t>Chase County Elem School</w:t>
      </w:r>
      <w:r w:rsidRPr="00EF52DD">
        <w:tab/>
      </w:r>
      <w:r w:rsidRPr="00EF52DD">
        <w:tab/>
        <w:t>4</w:t>
      </w:r>
      <w:r w:rsidRPr="00EF52DD">
        <w:tab/>
      </w:r>
      <w:r w:rsidRPr="00EF52DD">
        <w:tab/>
        <w:t>0</w:t>
      </w:r>
      <w:r w:rsidRPr="00EF52DD">
        <w:tab/>
      </w:r>
      <w:r w:rsidRPr="00EF52DD">
        <w:tab/>
      </w:r>
      <w:r w:rsidRPr="00EF52DD">
        <w:tab/>
        <w:t>37</w:t>
      </w:r>
      <w:r w:rsidRPr="00EF52DD">
        <w:tab/>
      </w:r>
      <w:r>
        <w:tab/>
      </w:r>
      <w:r>
        <w:tab/>
      </w:r>
      <w:r w:rsidRPr="00EF52DD">
        <w:t>24</w:t>
      </w:r>
      <w:r w:rsidRPr="00EF52DD">
        <w:tab/>
      </w:r>
      <w:r w:rsidRPr="00EF52DD">
        <w:tab/>
      </w:r>
    </w:p>
    <w:p w14:paraId="65C5960E" w14:textId="77777777" w:rsidR="00340CDA" w:rsidRPr="00EF52DD" w:rsidRDefault="00340CDA" w:rsidP="00340CDA">
      <w:r w:rsidRPr="00EF52DD">
        <w:t>Crawford Elementary School</w:t>
      </w:r>
      <w:r w:rsidRPr="00EF52DD">
        <w:tab/>
      </w:r>
      <w:r w:rsidRPr="00EF52DD">
        <w:tab/>
        <w:t>3</w:t>
      </w:r>
      <w:r w:rsidRPr="00EF52DD">
        <w:tab/>
      </w:r>
      <w:r w:rsidRPr="00EF52DD">
        <w:tab/>
        <w:t>0</w:t>
      </w:r>
      <w:r w:rsidRPr="00EF52DD">
        <w:tab/>
      </w:r>
      <w:r w:rsidRPr="00EF52DD">
        <w:tab/>
      </w:r>
      <w:r w:rsidRPr="00EF52DD">
        <w:tab/>
        <w:t>40</w:t>
      </w:r>
      <w:r w:rsidRPr="00EF52DD">
        <w:tab/>
      </w:r>
      <w:r>
        <w:tab/>
      </w:r>
      <w:r>
        <w:tab/>
        <w:t>7</w:t>
      </w:r>
      <w:r w:rsidRPr="00EF52DD">
        <w:tab/>
      </w:r>
      <w:r w:rsidRPr="00EF52DD">
        <w:tab/>
      </w:r>
    </w:p>
    <w:p w14:paraId="681A9231" w14:textId="77777777" w:rsidR="00340CDA" w:rsidRPr="00EF52DD" w:rsidRDefault="00340CDA" w:rsidP="00340CDA">
      <w:r w:rsidRPr="00EF52DD">
        <w:t>Dorchester Elementary School</w:t>
      </w:r>
      <w:r w:rsidRPr="00EF52DD">
        <w:tab/>
        <w:t>1</w:t>
      </w:r>
      <w:r w:rsidRPr="00EF52DD">
        <w:tab/>
      </w:r>
      <w:r w:rsidRPr="00EF52DD">
        <w:tab/>
        <w:t>1</w:t>
      </w:r>
      <w:r w:rsidRPr="00EF52DD">
        <w:tab/>
      </w:r>
      <w:r w:rsidRPr="00EF52DD">
        <w:tab/>
      </w:r>
      <w:r w:rsidRPr="00EF52DD">
        <w:tab/>
        <w:t>45</w:t>
      </w:r>
      <w:r w:rsidRPr="00EF52DD">
        <w:tab/>
      </w:r>
      <w:r>
        <w:tab/>
      </w:r>
      <w:r>
        <w:tab/>
      </w:r>
      <w:r w:rsidRPr="00EF52DD">
        <w:t>27</w:t>
      </w:r>
      <w:r w:rsidRPr="00EF52DD">
        <w:tab/>
      </w:r>
      <w:r w:rsidRPr="00EF52DD">
        <w:tab/>
      </w:r>
    </w:p>
    <w:p w14:paraId="5E674C59" w14:textId="77777777" w:rsidR="00340CDA" w:rsidRPr="00EF52DD" w:rsidRDefault="00340CDA" w:rsidP="00340CDA">
      <w:r w:rsidRPr="00EF52DD">
        <w:t>Elba Secondary School</w:t>
      </w:r>
      <w:r w:rsidRPr="00EF52DD">
        <w:tab/>
      </w:r>
      <w:r w:rsidRPr="00EF52DD">
        <w:tab/>
        <w:t>3</w:t>
      </w:r>
      <w:r w:rsidRPr="00EF52DD">
        <w:tab/>
      </w:r>
      <w:r w:rsidRPr="00EF52DD">
        <w:tab/>
        <w:t>3</w:t>
      </w:r>
      <w:r w:rsidRPr="00EF52DD">
        <w:tab/>
      </w:r>
      <w:r w:rsidRPr="00EF52DD">
        <w:tab/>
      </w:r>
      <w:r w:rsidRPr="00EF52DD">
        <w:tab/>
        <w:t>67</w:t>
      </w:r>
      <w:r w:rsidRPr="00EF52DD">
        <w:tab/>
      </w:r>
      <w:r>
        <w:tab/>
      </w:r>
      <w:r>
        <w:tab/>
      </w:r>
      <w:r w:rsidRPr="00EF52DD">
        <w:t>9</w:t>
      </w:r>
      <w:r w:rsidRPr="00EF52DD">
        <w:tab/>
      </w:r>
      <w:r w:rsidRPr="00EF52DD">
        <w:tab/>
      </w:r>
    </w:p>
    <w:p w14:paraId="3BE8D769" w14:textId="77777777" w:rsidR="00340CDA" w:rsidRDefault="00340CDA" w:rsidP="00340CDA">
      <w:r>
        <w:tab/>
      </w:r>
    </w:p>
    <w:p w14:paraId="731FCD69" w14:textId="77777777" w:rsidR="00340CDA" w:rsidRDefault="00340CDA" w:rsidP="00340CDA">
      <w:pPr>
        <w:sectPr w:rsidR="00340CDA" w:rsidSect="00340CDA">
          <w:pgSz w:w="15840" w:h="12240" w:orient="landscape"/>
          <w:pgMar w:top="1440" w:right="1440" w:bottom="1440" w:left="1440" w:header="720" w:footer="720" w:gutter="0"/>
          <w:cols w:space="720"/>
          <w:docGrid w:linePitch="360"/>
        </w:sectPr>
      </w:pPr>
    </w:p>
    <w:p w14:paraId="0C6F6306" w14:textId="7F8A2E51" w:rsidR="00340CDA" w:rsidRPr="002B4E17" w:rsidRDefault="00340CDA" w:rsidP="00340CDA">
      <w:r>
        <w:lastRenderedPageBreak/>
        <w:t>Table 7</w:t>
      </w:r>
      <w:r w:rsidRPr="002B4E17">
        <w:t>. Reading and English Language Arts Scores for three Nebraska schools who received a School Improvement Grant.</w:t>
      </w:r>
    </w:p>
    <w:p w14:paraId="283696F4" w14:textId="77777777" w:rsidR="00340CDA" w:rsidRPr="002B4E17" w:rsidRDefault="00340CDA" w:rsidP="00340CDA"/>
    <w:p w14:paraId="5149C3D7" w14:textId="77777777" w:rsidR="00340CDA" w:rsidRPr="002B4E17" w:rsidRDefault="00340CDA" w:rsidP="00340CDA"/>
    <w:tbl>
      <w:tblPr>
        <w:tblStyle w:val="TableGrid"/>
        <w:tblW w:w="8640" w:type="dxa"/>
        <w:tblInd w:w="265" w:type="dxa"/>
        <w:tblLayout w:type="fixed"/>
        <w:tblLook w:val="04A0" w:firstRow="1" w:lastRow="0" w:firstColumn="1" w:lastColumn="0" w:noHBand="0" w:noVBand="1"/>
      </w:tblPr>
      <w:tblGrid>
        <w:gridCol w:w="2970"/>
        <w:gridCol w:w="810"/>
        <w:gridCol w:w="810"/>
        <w:gridCol w:w="810"/>
        <w:gridCol w:w="810"/>
        <w:gridCol w:w="810"/>
        <w:gridCol w:w="810"/>
        <w:gridCol w:w="810"/>
      </w:tblGrid>
      <w:tr w:rsidR="00340CDA" w:rsidRPr="002B4E17" w14:paraId="47538F2A" w14:textId="77777777" w:rsidTr="00816ED3">
        <w:tc>
          <w:tcPr>
            <w:tcW w:w="2970" w:type="dxa"/>
          </w:tcPr>
          <w:p w14:paraId="15EAE799" w14:textId="77777777" w:rsidR="00340CDA" w:rsidRPr="002B4E17" w:rsidRDefault="00340CDA" w:rsidP="00816ED3">
            <w:pPr>
              <w:spacing w:line="480" w:lineRule="auto"/>
            </w:pPr>
          </w:p>
        </w:tc>
        <w:tc>
          <w:tcPr>
            <w:tcW w:w="810" w:type="dxa"/>
          </w:tcPr>
          <w:p w14:paraId="6FC39FE9" w14:textId="77777777" w:rsidR="00340CDA" w:rsidRPr="002B4E17" w:rsidRDefault="00340CDA" w:rsidP="00816ED3">
            <w:pPr>
              <w:spacing w:line="480" w:lineRule="auto"/>
              <w:jc w:val="center"/>
              <w:rPr>
                <w:b/>
                <w:bCs/>
              </w:rPr>
            </w:pPr>
            <w:r w:rsidRPr="002B4E17">
              <w:rPr>
                <w:b/>
                <w:bCs/>
              </w:rPr>
              <w:t>2013</w:t>
            </w:r>
          </w:p>
        </w:tc>
        <w:tc>
          <w:tcPr>
            <w:tcW w:w="810" w:type="dxa"/>
          </w:tcPr>
          <w:p w14:paraId="3EDAAADA" w14:textId="77777777" w:rsidR="00340CDA" w:rsidRPr="002B4E17" w:rsidRDefault="00340CDA" w:rsidP="00816ED3">
            <w:pPr>
              <w:spacing w:line="480" w:lineRule="auto"/>
              <w:jc w:val="center"/>
              <w:rPr>
                <w:b/>
                <w:bCs/>
              </w:rPr>
            </w:pPr>
            <w:r w:rsidRPr="002B4E17">
              <w:rPr>
                <w:b/>
                <w:bCs/>
              </w:rPr>
              <w:t>2014</w:t>
            </w:r>
          </w:p>
        </w:tc>
        <w:tc>
          <w:tcPr>
            <w:tcW w:w="810" w:type="dxa"/>
          </w:tcPr>
          <w:p w14:paraId="65D934C0" w14:textId="77777777" w:rsidR="00340CDA" w:rsidRPr="002B4E17" w:rsidRDefault="00340CDA" w:rsidP="00816ED3">
            <w:pPr>
              <w:spacing w:line="480" w:lineRule="auto"/>
              <w:jc w:val="center"/>
              <w:rPr>
                <w:b/>
                <w:bCs/>
              </w:rPr>
            </w:pPr>
            <w:r w:rsidRPr="002B4E17">
              <w:rPr>
                <w:b/>
                <w:bCs/>
              </w:rPr>
              <w:t>2015</w:t>
            </w:r>
          </w:p>
        </w:tc>
        <w:tc>
          <w:tcPr>
            <w:tcW w:w="810" w:type="dxa"/>
          </w:tcPr>
          <w:p w14:paraId="58C9957F" w14:textId="77777777" w:rsidR="00340CDA" w:rsidRPr="002B4E17" w:rsidRDefault="00340CDA" w:rsidP="00816ED3">
            <w:pPr>
              <w:spacing w:line="480" w:lineRule="auto"/>
              <w:jc w:val="center"/>
              <w:rPr>
                <w:b/>
                <w:bCs/>
              </w:rPr>
            </w:pPr>
            <w:r w:rsidRPr="002B4E17">
              <w:rPr>
                <w:b/>
                <w:bCs/>
              </w:rPr>
              <w:t>2016</w:t>
            </w:r>
          </w:p>
        </w:tc>
        <w:tc>
          <w:tcPr>
            <w:tcW w:w="810" w:type="dxa"/>
          </w:tcPr>
          <w:p w14:paraId="48790A9E" w14:textId="77777777" w:rsidR="00340CDA" w:rsidRPr="002B4E17" w:rsidRDefault="00340CDA" w:rsidP="00816ED3">
            <w:pPr>
              <w:spacing w:line="480" w:lineRule="auto"/>
              <w:jc w:val="center"/>
              <w:rPr>
                <w:b/>
                <w:bCs/>
              </w:rPr>
            </w:pPr>
            <w:r w:rsidRPr="002B4E17">
              <w:rPr>
                <w:b/>
                <w:bCs/>
              </w:rPr>
              <w:t>2017</w:t>
            </w:r>
          </w:p>
        </w:tc>
        <w:tc>
          <w:tcPr>
            <w:tcW w:w="810" w:type="dxa"/>
          </w:tcPr>
          <w:p w14:paraId="6699354D" w14:textId="77777777" w:rsidR="00340CDA" w:rsidRPr="002B4E17" w:rsidRDefault="00340CDA" w:rsidP="00816ED3">
            <w:pPr>
              <w:spacing w:line="480" w:lineRule="auto"/>
              <w:jc w:val="center"/>
              <w:rPr>
                <w:b/>
                <w:bCs/>
              </w:rPr>
            </w:pPr>
            <w:r w:rsidRPr="002B4E17">
              <w:rPr>
                <w:b/>
                <w:bCs/>
              </w:rPr>
              <w:t>2018</w:t>
            </w:r>
          </w:p>
        </w:tc>
        <w:tc>
          <w:tcPr>
            <w:tcW w:w="810" w:type="dxa"/>
          </w:tcPr>
          <w:p w14:paraId="1E9EA603" w14:textId="77777777" w:rsidR="00340CDA" w:rsidRPr="002B4E17" w:rsidRDefault="00340CDA" w:rsidP="00816ED3">
            <w:pPr>
              <w:spacing w:line="480" w:lineRule="auto"/>
              <w:jc w:val="center"/>
              <w:rPr>
                <w:b/>
                <w:bCs/>
              </w:rPr>
            </w:pPr>
            <w:r w:rsidRPr="002B4E17">
              <w:rPr>
                <w:b/>
                <w:bCs/>
              </w:rPr>
              <w:t>2019</w:t>
            </w:r>
          </w:p>
        </w:tc>
      </w:tr>
      <w:tr w:rsidR="00340CDA" w:rsidRPr="002B4E17" w14:paraId="00DBE440" w14:textId="77777777" w:rsidTr="00816ED3">
        <w:tc>
          <w:tcPr>
            <w:tcW w:w="2970" w:type="dxa"/>
            <w:tcBorders>
              <w:top w:val="single" w:sz="4" w:space="0" w:color="auto"/>
              <w:bottom w:val="single" w:sz="4" w:space="0" w:color="auto"/>
              <w:right w:val="single" w:sz="4" w:space="0" w:color="auto"/>
            </w:tcBorders>
          </w:tcPr>
          <w:p w14:paraId="6BA8226F" w14:textId="77777777" w:rsidR="00340CDA" w:rsidRPr="002B4E17" w:rsidRDefault="00340CDA" w:rsidP="00816ED3">
            <w:pPr>
              <w:spacing w:line="480" w:lineRule="auto"/>
            </w:pPr>
            <w:r w:rsidRPr="002B4E17">
              <w:t>Crawford Elem</w:t>
            </w:r>
            <w:r>
              <w:t>entary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C3DF6E9" w14:textId="77777777" w:rsidR="00340CDA" w:rsidRPr="002B4E17" w:rsidRDefault="00340CDA" w:rsidP="00816ED3">
            <w:pPr>
              <w:spacing w:line="480" w:lineRule="auto"/>
              <w:jc w:val="center"/>
            </w:pPr>
            <w:r w:rsidRPr="002B4E17">
              <w:t>107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036026A" w14:textId="77777777" w:rsidR="00340CDA" w:rsidRPr="002B4E17" w:rsidRDefault="00340CDA" w:rsidP="00816ED3">
            <w:pPr>
              <w:spacing w:line="480" w:lineRule="auto"/>
              <w:jc w:val="center"/>
            </w:pPr>
            <w:r w:rsidRPr="002B4E17">
              <w:t>120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077813" w14:textId="77777777" w:rsidR="00340CDA" w:rsidRPr="002B4E17" w:rsidRDefault="00340CDA" w:rsidP="00816ED3">
            <w:pPr>
              <w:spacing w:line="480" w:lineRule="auto"/>
              <w:jc w:val="center"/>
            </w:pPr>
            <w:r w:rsidRPr="002B4E17">
              <w:t>124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20962308" w14:textId="77777777" w:rsidR="00340CDA" w:rsidRPr="002B4E17" w:rsidRDefault="00340CDA" w:rsidP="00816ED3">
            <w:pPr>
              <w:spacing w:line="480" w:lineRule="auto"/>
              <w:jc w:val="center"/>
            </w:pPr>
            <w:r w:rsidRPr="002B4E17">
              <w:t>131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ACAB13D" w14:textId="77777777" w:rsidR="00340CDA" w:rsidRPr="002B4E17" w:rsidRDefault="00340CDA" w:rsidP="00816ED3">
            <w:pPr>
              <w:spacing w:line="480" w:lineRule="auto"/>
              <w:jc w:val="center"/>
            </w:pPr>
            <w:r w:rsidRPr="002B4E17">
              <w:t>106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CFE4801" w14:textId="77777777" w:rsidR="00340CDA" w:rsidRPr="002B4E17" w:rsidRDefault="00340CDA" w:rsidP="00816ED3">
            <w:pPr>
              <w:spacing w:line="480" w:lineRule="auto"/>
              <w:jc w:val="center"/>
            </w:pPr>
            <w:r w:rsidRPr="002B4E17">
              <w:t>90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21D15D9" w14:textId="77777777" w:rsidR="00340CDA" w:rsidRPr="002B4E17" w:rsidRDefault="00340CDA" w:rsidP="00816ED3">
            <w:pPr>
              <w:spacing w:line="480" w:lineRule="auto"/>
              <w:jc w:val="center"/>
            </w:pPr>
            <w:r w:rsidRPr="002B4E17">
              <w:t>87</w:t>
            </w:r>
          </w:p>
        </w:tc>
      </w:tr>
      <w:tr w:rsidR="00340CDA" w:rsidRPr="002B4E17" w14:paraId="273EEBCA" w14:textId="77777777" w:rsidTr="00816ED3">
        <w:tc>
          <w:tcPr>
            <w:tcW w:w="2970" w:type="dxa"/>
            <w:tcBorders>
              <w:top w:val="single" w:sz="4" w:space="0" w:color="auto"/>
              <w:bottom w:val="single" w:sz="4" w:space="0" w:color="auto"/>
              <w:right w:val="single" w:sz="4" w:space="0" w:color="auto"/>
            </w:tcBorders>
          </w:tcPr>
          <w:p w14:paraId="0ED02A7E" w14:textId="77777777" w:rsidR="00340CDA" w:rsidRPr="002B4E17" w:rsidRDefault="00340CDA" w:rsidP="00816ED3">
            <w:pPr>
              <w:spacing w:line="480" w:lineRule="auto"/>
            </w:pPr>
            <w:r w:rsidRPr="002B4E17">
              <w:t>Madison M</w:t>
            </w:r>
            <w:r>
              <w:t>iddle School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2FAE2F0" w14:textId="77777777" w:rsidR="00340CDA" w:rsidRPr="002B4E17" w:rsidRDefault="00340CDA" w:rsidP="00816ED3">
            <w:pPr>
              <w:spacing w:line="480" w:lineRule="auto"/>
              <w:jc w:val="center"/>
            </w:pPr>
            <w:r w:rsidRPr="002B4E17">
              <w:t>96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DE0FB3F" w14:textId="77777777" w:rsidR="00340CDA" w:rsidRPr="002B4E17" w:rsidRDefault="00340CDA" w:rsidP="00816ED3">
            <w:pPr>
              <w:spacing w:line="480" w:lineRule="auto"/>
              <w:jc w:val="center"/>
            </w:pPr>
            <w:r w:rsidRPr="002B4E17">
              <w:t>89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B13912E" w14:textId="77777777" w:rsidR="00340CDA" w:rsidRPr="002B4E17" w:rsidRDefault="00340CDA" w:rsidP="00816ED3">
            <w:pPr>
              <w:spacing w:line="480" w:lineRule="auto"/>
              <w:jc w:val="center"/>
            </w:pPr>
            <w:r w:rsidRPr="002B4E17">
              <w:t>93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8B55DC3" w14:textId="77777777" w:rsidR="00340CDA" w:rsidRPr="002B4E17" w:rsidRDefault="00340CDA" w:rsidP="00816ED3">
            <w:pPr>
              <w:spacing w:line="480" w:lineRule="auto"/>
              <w:jc w:val="center"/>
            </w:pPr>
            <w:r w:rsidRPr="002B4E17">
              <w:t>102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0DAE9B0" w14:textId="77777777" w:rsidR="00340CDA" w:rsidRPr="002B4E17" w:rsidRDefault="00340CDA" w:rsidP="00816ED3">
            <w:pPr>
              <w:spacing w:line="480" w:lineRule="auto"/>
              <w:jc w:val="center"/>
            </w:pPr>
            <w:r w:rsidRPr="002B4E17">
              <w:t>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943FBB4" w14:textId="77777777" w:rsidR="00340CDA" w:rsidRPr="002B4E17" w:rsidRDefault="00340CDA" w:rsidP="00816ED3">
            <w:pPr>
              <w:spacing w:line="480" w:lineRule="auto"/>
              <w:jc w:val="center"/>
            </w:pPr>
            <w:r w:rsidRPr="002B4E17">
              <w:t>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601BD81E" w14:textId="77777777" w:rsidR="00340CDA" w:rsidRPr="002B4E17" w:rsidRDefault="00340CDA" w:rsidP="00816ED3">
            <w:pPr>
              <w:spacing w:line="480" w:lineRule="auto"/>
              <w:jc w:val="center"/>
            </w:pPr>
            <w:r w:rsidRPr="002B4E17">
              <w:t>88</w:t>
            </w:r>
          </w:p>
        </w:tc>
      </w:tr>
      <w:tr w:rsidR="00340CDA" w:rsidRPr="002B4E17" w14:paraId="17F31391" w14:textId="77777777" w:rsidTr="00816ED3">
        <w:tc>
          <w:tcPr>
            <w:tcW w:w="2970" w:type="dxa"/>
            <w:tcBorders>
              <w:top w:val="single" w:sz="4" w:space="0" w:color="auto"/>
              <w:bottom w:val="single" w:sz="4" w:space="0" w:color="auto"/>
              <w:right w:val="single" w:sz="4" w:space="0" w:color="auto"/>
            </w:tcBorders>
          </w:tcPr>
          <w:p w14:paraId="33E865A5" w14:textId="77777777" w:rsidR="00340CDA" w:rsidRPr="002B4E17" w:rsidRDefault="00340CDA" w:rsidP="00816ED3">
            <w:pPr>
              <w:spacing w:line="480" w:lineRule="auto"/>
            </w:pPr>
            <w:r>
              <w:t>Omaha Nation High School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5904CCB" w14:textId="77777777" w:rsidR="00340CDA" w:rsidRPr="002B4E17" w:rsidRDefault="00340CDA" w:rsidP="00816ED3">
            <w:pPr>
              <w:spacing w:line="480" w:lineRule="auto"/>
              <w:jc w:val="center"/>
            </w:pPr>
            <w:r w:rsidRPr="002B4E17">
              <w:t>51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BDF107E" w14:textId="77777777" w:rsidR="00340CDA" w:rsidRPr="002B4E17" w:rsidRDefault="00340CDA" w:rsidP="00816ED3">
            <w:pPr>
              <w:spacing w:line="480" w:lineRule="auto"/>
              <w:jc w:val="center"/>
            </w:pPr>
            <w:r w:rsidRPr="002B4E17">
              <w:t>51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7887847" w14:textId="77777777" w:rsidR="00340CDA" w:rsidRPr="002B4E17" w:rsidRDefault="00340CDA" w:rsidP="00816ED3">
            <w:pPr>
              <w:spacing w:line="480" w:lineRule="auto"/>
              <w:jc w:val="center"/>
            </w:pPr>
            <w:r w:rsidRPr="002B4E17">
              <w:t>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97B3913" w14:textId="77777777" w:rsidR="00340CDA" w:rsidRPr="002B4E17" w:rsidRDefault="00340CDA" w:rsidP="00816ED3">
            <w:pPr>
              <w:spacing w:line="480" w:lineRule="auto"/>
              <w:jc w:val="center"/>
            </w:pPr>
            <w:r w:rsidRPr="002B4E17">
              <w:t>67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7495C5B" w14:textId="77777777" w:rsidR="00340CDA" w:rsidRPr="002B4E17" w:rsidRDefault="00340CDA" w:rsidP="00816ED3">
            <w:pPr>
              <w:spacing w:line="480" w:lineRule="auto"/>
              <w:jc w:val="center"/>
            </w:pPr>
            <w:r w:rsidRPr="002B4E17">
              <w:t>49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468C95A" w14:textId="77777777" w:rsidR="00340CDA" w:rsidRPr="002B4E17" w:rsidRDefault="00340CDA" w:rsidP="00816ED3">
            <w:pPr>
              <w:spacing w:line="480" w:lineRule="auto"/>
              <w:jc w:val="center"/>
            </w:pPr>
            <w:r w:rsidRPr="002B4E17">
              <w:t>55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730167AC" w14:textId="77777777" w:rsidR="00340CDA" w:rsidRPr="002B4E17" w:rsidRDefault="00340CDA" w:rsidP="00816ED3">
            <w:pPr>
              <w:spacing w:line="480" w:lineRule="auto"/>
              <w:jc w:val="center"/>
            </w:pPr>
            <w:r w:rsidRPr="002B4E17">
              <w:t>54</w:t>
            </w:r>
          </w:p>
        </w:tc>
      </w:tr>
    </w:tbl>
    <w:p w14:paraId="634272AC" w14:textId="77777777" w:rsidR="00340CDA" w:rsidRDefault="00340CDA" w:rsidP="00340CDA"/>
    <w:p w14:paraId="073617E4" w14:textId="77777777" w:rsidR="00340CDA" w:rsidRDefault="00340CDA" w:rsidP="00340CDA"/>
    <w:p w14:paraId="413F2C6B" w14:textId="77777777" w:rsidR="00340CDA" w:rsidRDefault="00340CDA" w:rsidP="00340CDA"/>
    <w:p w14:paraId="2F97CD41" w14:textId="77777777" w:rsidR="00340CDA" w:rsidRDefault="00340CDA" w:rsidP="00340CDA">
      <w:r>
        <w:br w:type="page"/>
      </w:r>
    </w:p>
    <w:p w14:paraId="6DA9FBEB" w14:textId="77777777" w:rsidR="00340CDA" w:rsidRDefault="00340CDA" w:rsidP="00340CDA">
      <w:r>
        <w:lastRenderedPageBreak/>
        <w:t>Table 8. High FRL, No SIG elementary schools in Nebraska.</w:t>
      </w:r>
    </w:p>
    <w:p w14:paraId="2D326740" w14:textId="77777777" w:rsidR="00340CDA" w:rsidRDefault="00340CDA" w:rsidP="00340CDA"/>
    <w:p w14:paraId="01AFC5EA" w14:textId="77777777" w:rsidR="00340CDA" w:rsidRDefault="00340CDA" w:rsidP="00340CDA"/>
    <w:tbl>
      <w:tblPr>
        <w:tblStyle w:val="TableGrid"/>
        <w:tblW w:w="0" w:type="auto"/>
        <w:tblLook w:val="04A0" w:firstRow="1" w:lastRow="0" w:firstColumn="1" w:lastColumn="0" w:noHBand="0" w:noVBand="1"/>
      </w:tblPr>
      <w:tblGrid>
        <w:gridCol w:w="2184"/>
        <w:gridCol w:w="943"/>
        <w:gridCol w:w="1110"/>
        <w:gridCol w:w="888"/>
        <w:gridCol w:w="1260"/>
        <w:gridCol w:w="1170"/>
        <w:gridCol w:w="1260"/>
      </w:tblGrid>
      <w:tr w:rsidR="00340CDA" w14:paraId="5A27BF6A" w14:textId="77777777" w:rsidTr="00340CDA">
        <w:tc>
          <w:tcPr>
            <w:tcW w:w="2184" w:type="dxa"/>
          </w:tcPr>
          <w:p w14:paraId="4F48564F" w14:textId="77777777" w:rsidR="00340CDA" w:rsidRPr="00F96E00" w:rsidRDefault="00340CDA" w:rsidP="00816ED3">
            <w:pPr>
              <w:spacing w:line="480" w:lineRule="auto"/>
            </w:pPr>
            <w:bookmarkStart w:id="0" w:name="_Hlk85815184"/>
          </w:p>
        </w:tc>
        <w:tc>
          <w:tcPr>
            <w:tcW w:w="943" w:type="dxa"/>
          </w:tcPr>
          <w:p w14:paraId="2523E64D" w14:textId="77777777" w:rsidR="00340CDA" w:rsidRPr="00F96E00" w:rsidRDefault="00340CDA" w:rsidP="00816ED3">
            <w:pPr>
              <w:spacing w:line="480" w:lineRule="auto"/>
              <w:jc w:val="center"/>
              <w:rPr>
                <w:b/>
                <w:bCs/>
              </w:rPr>
            </w:pPr>
            <w:r w:rsidRPr="00F96E00">
              <w:rPr>
                <w:b/>
                <w:bCs/>
              </w:rPr>
              <w:t>FRL</w:t>
            </w:r>
            <w:r w:rsidRPr="00F96E00">
              <w:t>*</w:t>
            </w:r>
          </w:p>
        </w:tc>
        <w:tc>
          <w:tcPr>
            <w:tcW w:w="1110" w:type="dxa"/>
          </w:tcPr>
          <w:p w14:paraId="6D46DB08" w14:textId="77777777" w:rsidR="00340CDA" w:rsidRPr="00F96E00" w:rsidRDefault="00340CDA" w:rsidP="00816ED3">
            <w:pPr>
              <w:spacing w:line="480" w:lineRule="auto"/>
              <w:jc w:val="center"/>
              <w:rPr>
                <w:b/>
                <w:bCs/>
                <w:vertAlign w:val="superscript"/>
              </w:rPr>
            </w:pPr>
            <w:r w:rsidRPr="00F96E00">
              <w:rPr>
                <w:b/>
                <w:bCs/>
              </w:rPr>
              <w:t>Students</w:t>
            </w:r>
          </w:p>
        </w:tc>
        <w:tc>
          <w:tcPr>
            <w:tcW w:w="888" w:type="dxa"/>
          </w:tcPr>
          <w:p w14:paraId="524DB18C" w14:textId="77777777" w:rsidR="00340CDA" w:rsidRPr="00F96E00" w:rsidRDefault="00340CDA" w:rsidP="00816ED3">
            <w:pPr>
              <w:spacing w:line="480" w:lineRule="auto"/>
              <w:jc w:val="center"/>
              <w:rPr>
                <w:b/>
                <w:bCs/>
                <w:vertAlign w:val="superscript"/>
              </w:rPr>
            </w:pPr>
            <w:r w:rsidRPr="00F96E00">
              <w:rPr>
                <w:b/>
                <w:bCs/>
              </w:rPr>
              <w:t>White</w:t>
            </w:r>
          </w:p>
        </w:tc>
        <w:tc>
          <w:tcPr>
            <w:tcW w:w="1260" w:type="dxa"/>
          </w:tcPr>
          <w:p w14:paraId="09A13A94" w14:textId="77777777" w:rsidR="00340CDA" w:rsidRPr="00F96E00" w:rsidRDefault="00340CDA" w:rsidP="00816ED3">
            <w:pPr>
              <w:spacing w:line="480" w:lineRule="auto"/>
              <w:jc w:val="center"/>
              <w:rPr>
                <w:b/>
                <w:bCs/>
                <w:vertAlign w:val="superscript"/>
              </w:rPr>
            </w:pPr>
            <w:r w:rsidRPr="00F96E00">
              <w:rPr>
                <w:b/>
                <w:bCs/>
              </w:rPr>
              <w:t>African American</w:t>
            </w:r>
          </w:p>
        </w:tc>
        <w:tc>
          <w:tcPr>
            <w:tcW w:w="1170" w:type="dxa"/>
          </w:tcPr>
          <w:p w14:paraId="0950F6C4" w14:textId="77777777" w:rsidR="00340CDA" w:rsidRPr="00F96E00" w:rsidRDefault="00340CDA" w:rsidP="00816ED3">
            <w:pPr>
              <w:spacing w:line="480" w:lineRule="auto"/>
              <w:jc w:val="center"/>
              <w:rPr>
                <w:b/>
                <w:bCs/>
                <w:vertAlign w:val="superscript"/>
              </w:rPr>
            </w:pPr>
            <w:r w:rsidRPr="00F96E00">
              <w:rPr>
                <w:b/>
                <w:bCs/>
              </w:rPr>
              <w:t>Hispanic</w:t>
            </w:r>
          </w:p>
        </w:tc>
        <w:tc>
          <w:tcPr>
            <w:tcW w:w="1260" w:type="dxa"/>
          </w:tcPr>
          <w:p w14:paraId="02177D1F" w14:textId="77777777" w:rsidR="00340CDA" w:rsidRPr="00F96E00" w:rsidRDefault="00340CDA" w:rsidP="00816ED3">
            <w:pPr>
              <w:spacing w:line="480" w:lineRule="auto"/>
              <w:jc w:val="center"/>
              <w:rPr>
                <w:b/>
                <w:bCs/>
                <w:vertAlign w:val="superscript"/>
              </w:rPr>
            </w:pPr>
            <w:r w:rsidRPr="00F96E00">
              <w:rPr>
                <w:b/>
                <w:bCs/>
              </w:rPr>
              <w:t>Native American</w:t>
            </w:r>
          </w:p>
        </w:tc>
      </w:tr>
      <w:tr w:rsidR="00340CDA" w14:paraId="6D6783C1" w14:textId="77777777" w:rsidTr="00340CDA">
        <w:tc>
          <w:tcPr>
            <w:tcW w:w="2184" w:type="dxa"/>
          </w:tcPr>
          <w:p w14:paraId="41E72558" w14:textId="77777777" w:rsidR="00340CDA" w:rsidRPr="00F96E00" w:rsidRDefault="00340CDA" w:rsidP="00816ED3">
            <w:pPr>
              <w:spacing w:line="480" w:lineRule="auto"/>
            </w:pPr>
            <w:r w:rsidRPr="00F96E00">
              <w:t>Druid Hills</w:t>
            </w:r>
            <w:r>
              <w:t xml:space="preserve"> (Omaha)</w:t>
            </w:r>
          </w:p>
        </w:tc>
        <w:tc>
          <w:tcPr>
            <w:tcW w:w="943" w:type="dxa"/>
          </w:tcPr>
          <w:p w14:paraId="5B9077A9" w14:textId="77777777" w:rsidR="00340CDA" w:rsidRPr="00F96E00" w:rsidRDefault="00340CDA" w:rsidP="00816ED3">
            <w:pPr>
              <w:spacing w:line="480" w:lineRule="auto"/>
              <w:jc w:val="center"/>
            </w:pPr>
            <w:r w:rsidRPr="00F96E00">
              <w:t>95%</w:t>
            </w:r>
          </w:p>
        </w:tc>
        <w:tc>
          <w:tcPr>
            <w:tcW w:w="1110" w:type="dxa"/>
          </w:tcPr>
          <w:p w14:paraId="504B6E4D" w14:textId="77777777" w:rsidR="00340CDA" w:rsidRPr="00F96E00" w:rsidRDefault="00340CDA" w:rsidP="00816ED3">
            <w:pPr>
              <w:spacing w:line="480" w:lineRule="auto"/>
              <w:jc w:val="center"/>
            </w:pPr>
            <w:r w:rsidRPr="00F96E00">
              <w:t>328</w:t>
            </w:r>
          </w:p>
        </w:tc>
        <w:tc>
          <w:tcPr>
            <w:tcW w:w="888" w:type="dxa"/>
          </w:tcPr>
          <w:p w14:paraId="78D36CFD" w14:textId="77777777" w:rsidR="00340CDA" w:rsidRPr="00F96E00" w:rsidRDefault="00340CDA" w:rsidP="00816ED3">
            <w:pPr>
              <w:spacing w:line="480" w:lineRule="auto"/>
              <w:jc w:val="center"/>
            </w:pPr>
            <w:r w:rsidRPr="00F96E00">
              <w:t>12%</w:t>
            </w:r>
          </w:p>
        </w:tc>
        <w:tc>
          <w:tcPr>
            <w:tcW w:w="1260" w:type="dxa"/>
          </w:tcPr>
          <w:p w14:paraId="62093120" w14:textId="77777777" w:rsidR="00340CDA" w:rsidRPr="00F96E00" w:rsidRDefault="00340CDA" w:rsidP="00816ED3">
            <w:pPr>
              <w:spacing w:line="480" w:lineRule="auto"/>
              <w:jc w:val="center"/>
            </w:pPr>
            <w:r w:rsidRPr="00F96E00">
              <w:t>54%</w:t>
            </w:r>
          </w:p>
        </w:tc>
        <w:tc>
          <w:tcPr>
            <w:tcW w:w="1170" w:type="dxa"/>
          </w:tcPr>
          <w:p w14:paraId="15AE8559" w14:textId="77777777" w:rsidR="00340CDA" w:rsidRPr="00F96E00" w:rsidRDefault="00340CDA" w:rsidP="00816ED3">
            <w:pPr>
              <w:spacing w:line="480" w:lineRule="auto"/>
              <w:jc w:val="center"/>
            </w:pPr>
            <w:r w:rsidRPr="00F96E00">
              <w:t>17%</w:t>
            </w:r>
          </w:p>
        </w:tc>
        <w:tc>
          <w:tcPr>
            <w:tcW w:w="1260" w:type="dxa"/>
          </w:tcPr>
          <w:p w14:paraId="633E704F" w14:textId="77777777" w:rsidR="00340CDA" w:rsidRPr="00F96E00" w:rsidRDefault="00340CDA" w:rsidP="00816ED3">
            <w:pPr>
              <w:spacing w:line="480" w:lineRule="auto"/>
              <w:jc w:val="center"/>
            </w:pPr>
            <w:r w:rsidRPr="00F96E00">
              <w:t>1%</w:t>
            </w:r>
          </w:p>
        </w:tc>
      </w:tr>
      <w:tr w:rsidR="00340CDA" w14:paraId="760AD057" w14:textId="77777777" w:rsidTr="00340CDA">
        <w:tc>
          <w:tcPr>
            <w:tcW w:w="2184" w:type="dxa"/>
          </w:tcPr>
          <w:p w14:paraId="37366306" w14:textId="77777777" w:rsidR="00340CDA" w:rsidRPr="00F96E00" w:rsidRDefault="00340CDA" w:rsidP="00816ED3">
            <w:pPr>
              <w:spacing w:line="480" w:lineRule="auto"/>
            </w:pPr>
            <w:r w:rsidRPr="00F96E00">
              <w:t>Indian Hill</w:t>
            </w:r>
            <w:r>
              <w:t xml:space="preserve"> (Omaha)</w:t>
            </w:r>
          </w:p>
        </w:tc>
        <w:tc>
          <w:tcPr>
            <w:tcW w:w="943" w:type="dxa"/>
          </w:tcPr>
          <w:p w14:paraId="3C81A3D6" w14:textId="77777777" w:rsidR="00340CDA" w:rsidRPr="00F96E00" w:rsidRDefault="00340CDA" w:rsidP="00816ED3">
            <w:pPr>
              <w:spacing w:line="480" w:lineRule="auto"/>
              <w:jc w:val="center"/>
            </w:pPr>
            <w:r w:rsidRPr="00F96E00">
              <w:t>91%</w:t>
            </w:r>
          </w:p>
        </w:tc>
        <w:tc>
          <w:tcPr>
            <w:tcW w:w="1110" w:type="dxa"/>
          </w:tcPr>
          <w:p w14:paraId="54772D98" w14:textId="77777777" w:rsidR="00340CDA" w:rsidRPr="00F96E00" w:rsidRDefault="00340CDA" w:rsidP="00816ED3">
            <w:pPr>
              <w:spacing w:line="480" w:lineRule="auto"/>
              <w:jc w:val="center"/>
            </w:pPr>
            <w:r w:rsidRPr="00F96E00">
              <w:t>630</w:t>
            </w:r>
          </w:p>
        </w:tc>
        <w:tc>
          <w:tcPr>
            <w:tcW w:w="888" w:type="dxa"/>
          </w:tcPr>
          <w:p w14:paraId="7B1D0CC9" w14:textId="77777777" w:rsidR="00340CDA" w:rsidRPr="00F96E00" w:rsidRDefault="00340CDA" w:rsidP="00816ED3">
            <w:pPr>
              <w:spacing w:line="480" w:lineRule="auto"/>
              <w:jc w:val="center"/>
            </w:pPr>
            <w:r w:rsidRPr="00F96E00">
              <w:t>6%</w:t>
            </w:r>
          </w:p>
        </w:tc>
        <w:tc>
          <w:tcPr>
            <w:tcW w:w="1260" w:type="dxa"/>
          </w:tcPr>
          <w:p w14:paraId="248082CB" w14:textId="77777777" w:rsidR="00340CDA" w:rsidRPr="00F96E00" w:rsidRDefault="00340CDA" w:rsidP="00816ED3">
            <w:pPr>
              <w:spacing w:line="480" w:lineRule="auto"/>
              <w:jc w:val="center"/>
            </w:pPr>
            <w:r w:rsidRPr="00F96E00">
              <w:t>31%</w:t>
            </w:r>
          </w:p>
        </w:tc>
        <w:tc>
          <w:tcPr>
            <w:tcW w:w="1170" w:type="dxa"/>
          </w:tcPr>
          <w:p w14:paraId="71265E50" w14:textId="77777777" w:rsidR="00340CDA" w:rsidRPr="00F96E00" w:rsidRDefault="00340CDA" w:rsidP="00816ED3">
            <w:pPr>
              <w:spacing w:line="480" w:lineRule="auto"/>
              <w:jc w:val="center"/>
            </w:pPr>
            <w:r w:rsidRPr="00F96E00">
              <w:t>59%</w:t>
            </w:r>
          </w:p>
        </w:tc>
        <w:tc>
          <w:tcPr>
            <w:tcW w:w="1260" w:type="dxa"/>
          </w:tcPr>
          <w:p w14:paraId="67FD2895" w14:textId="77777777" w:rsidR="00340CDA" w:rsidRPr="00F96E00" w:rsidRDefault="00340CDA" w:rsidP="00816ED3">
            <w:pPr>
              <w:spacing w:line="480" w:lineRule="auto"/>
              <w:jc w:val="center"/>
            </w:pPr>
            <w:r w:rsidRPr="00F96E00">
              <w:t>1%</w:t>
            </w:r>
          </w:p>
        </w:tc>
      </w:tr>
      <w:tr w:rsidR="00340CDA" w14:paraId="756DEE89" w14:textId="77777777" w:rsidTr="00340CDA">
        <w:tc>
          <w:tcPr>
            <w:tcW w:w="2184" w:type="dxa"/>
          </w:tcPr>
          <w:p w14:paraId="17E78F3F" w14:textId="77777777" w:rsidR="00340CDA" w:rsidRPr="00F96E00" w:rsidRDefault="00340CDA" w:rsidP="00816ED3">
            <w:pPr>
              <w:spacing w:line="480" w:lineRule="auto"/>
            </w:pPr>
            <w:proofErr w:type="spellStart"/>
            <w:r w:rsidRPr="00F96E00">
              <w:t>Wakonda</w:t>
            </w:r>
            <w:proofErr w:type="spellEnd"/>
            <w:r>
              <w:t xml:space="preserve"> (Omaha)</w:t>
            </w:r>
          </w:p>
        </w:tc>
        <w:tc>
          <w:tcPr>
            <w:tcW w:w="943" w:type="dxa"/>
          </w:tcPr>
          <w:p w14:paraId="296F1E42" w14:textId="77777777" w:rsidR="00340CDA" w:rsidRPr="00F96E00" w:rsidRDefault="00340CDA" w:rsidP="00816ED3">
            <w:pPr>
              <w:spacing w:line="480" w:lineRule="auto"/>
              <w:jc w:val="center"/>
            </w:pPr>
            <w:r w:rsidRPr="00F96E00">
              <w:t>89%</w:t>
            </w:r>
          </w:p>
        </w:tc>
        <w:tc>
          <w:tcPr>
            <w:tcW w:w="1110" w:type="dxa"/>
          </w:tcPr>
          <w:p w14:paraId="26E89090" w14:textId="77777777" w:rsidR="00340CDA" w:rsidRPr="00F96E00" w:rsidRDefault="00340CDA" w:rsidP="00816ED3">
            <w:pPr>
              <w:spacing w:line="480" w:lineRule="auto"/>
              <w:jc w:val="center"/>
            </w:pPr>
            <w:r w:rsidRPr="00F96E00">
              <w:t>401</w:t>
            </w:r>
          </w:p>
        </w:tc>
        <w:tc>
          <w:tcPr>
            <w:tcW w:w="888" w:type="dxa"/>
          </w:tcPr>
          <w:p w14:paraId="42FE9BD6" w14:textId="77777777" w:rsidR="00340CDA" w:rsidRPr="00F96E00" w:rsidRDefault="00340CDA" w:rsidP="00816ED3">
            <w:pPr>
              <w:spacing w:line="480" w:lineRule="auto"/>
              <w:jc w:val="center"/>
            </w:pPr>
            <w:r w:rsidRPr="00F96E00">
              <w:t>12%</w:t>
            </w:r>
          </w:p>
        </w:tc>
        <w:tc>
          <w:tcPr>
            <w:tcW w:w="1260" w:type="dxa"/>
          </w:tcPr>
          <w:p w14:paraId="3CAD2B12" w14:textId="77777777" w:rsidR="00340CDA" w:rsidRPr="00F96E00" w:rsidRDefault="00340CDA" w:rsidP="00816ED3">
            <w:pPr>
              <w:spacing w:line="480" w:lineRule="auto"/>
              <w:jc w:val="center"/>
            </w:pPr>
            <w:r w:rsidRPr="00F96E00">
              <w:t>54%</w:t>
            </w:r>
          </w:p>
        </w:tc>
        <w:tc>
          <w:tcPr>
            <w:tcW w:w="1170" w:type="dxa"/>
          </w:tcPr>
          <w:p w14:paraId="5A5A3292" w14:textId="77777777" w:rsidR="00340CDA" w:rsidRPr="00F96E00" w:rsidRDefault="00340CDA" w:rsidP="00816ED3">
            <w:pPr>
              <w:spacing w:line="480" w:lineRule="auto"/>
              <w:jc w:val="center"/>
            </w:pPr>
            <w:r w:rsidRPr="00F96E00">
              <w:t>9%</w:t>
            </w:r>
          </w:p>
        </w:tc>
        <w:tc>
          <w:tcPr>
            <w:tcW w:w="1260" w:type="dxa"/>
          </w:tcPr>
          <w:p w14:paraId="5152ED7E" w14:textId="77777777" w:rsidR="00340CDA" w:rsidRPr="00F96E00" w:rsidRDefault="00340CDA" w:rsidP="00816ED3">
            <w:pPr>
              <w:spacing w:line="480" w:lineRule="auto"/>
              <w:jc w:val="center"/>
            </w:pPr>
            <w:r w:rsidRPr="00F96E00">
              <w:t>2%</w:t>
            </w:r>
          </w:p>
        </w:tc>
      </w:tr>
      <w:tr w:rsidR="00340CDA" w14:paraId="51F1D96A" w14:textId="77777777" w:rsidTr="00340CDA">
        <w:tc>
          <w:tcPr>
            <w:tcW w:w="2184" w:type="dxa"/>
          </w:tcPr>
          <w:p w14:paraId="1564EFF7" w14:textId="77777777" w:rsidR="00340CDA" w:rsidRPr="00F96E00" w:rsidRDefault="00340CDA" w:rsidP="00816ED3">
            <w:pPr>
              <w:spacing w:line="480" w:lineRule="auto"/>
            </w:pPr>
            <w:r w:rsidRPr="00AF3DE1">
              <w:t>Clinton</w:t>
            </w:r>
            <w:r>
              <w:t xml:space="preserve"> (Lincoln)</w:t>
            </w:r>
          </w:p>
        </w:tc>
        <w:tc>
          <w:tcPr>
            <w:tcW w:w="943" w:type="dxa"/>
          </w:tcPr>
          <w:p w14:paraId="5C568350" w14:textId="77777777" w:rsidR="00340CDA" w:rsidRPr="00F96E00" w:rsidRDefault="00340CDA" w:rsidP="00816ED3">
            <w:pPr>
              <w:spacing w:line="480" w:lineRule="auto"/>
              <w:jc w:val="center"/>
            </w:pPr>
            <w:r w:rsidRPr="00AF3DE1">
              <w:t>94%</w:t>
            </w:r>
          </w:p>
        </w:tc>
        <w:tc>
          <w:tcPr>
            <w:tcW w:w="1110" w:type="dxa"/>
          </w:tcPr>
          <w:p w14:paraId="7DF870D2" w14:textId="77777777" w:rsidR="00340CDA" w:rsidRPr="00F96E00" w:rsidRDefault="00340CDA" w:rsidP="00816ED3">
            <w:pPr>
              <w:spacing w:line="480" w:lineRule="auto"/>
              <w:jc w:val="center"/>
            </w:pPr>
            <w:r w:rsidRPr="00AF3DE1">
              <w:t>475</w:t>
            </w:r>
          </w:p>
        </w:tc>
        <w:tc>
          <w:tcPr>
            <w:tcW w:w="888" w:type="dxa"/>
          </w:tcPr>
          <w:p w14:paraId="3F0D238C" w14:textId="77777777" w:rsidR="00340CDA" w:rsidRPr="00F96E00" w:rsidRDefault="00340CDA" w:rsidP="00816ED3">
            <w:pPr>
              <w:spacing w:line="480" w:lineRule="auto"/>
              <w:jc w:val="center"/>
            </w:pPr>
            <w:r w:rsidRPr="00AF3DE1">
              <w:t>41%</w:t>
            </w:r>
          </w:p>
        </w:tc>
        <w:tc>
          <w:tcPr>
            <w:tcW w:w="1260" w:type="dxa"/>
          </w:tcPr>
          <w:p w14:paraId="7619840E" w14:textId="77777777" w:rsidR="00340CDA" w:rsidRPr="00F96E00" w:rsidRDefault="00340CDA" w:rsidP="00816ED3">
            <w:pPr>
              <w:spacing w:line="480" w:lineRule="auto"/>
              <w:jc w:val="center"/>
            </w:pPr>
            <w:r w:rsidRPr="00AF3DE1">
              <w:t>27%</w:t>
            </w:r>
          </w:p>
        </w:tc>
        <w:tc>
          <w:tcPr>
            <w:tcW w:w="1170" w:type="dxa"/>
          </w:tcPr>
          <w:p w14:paraId="4BEBF0E4" w14:textId="77777777" w:rsidR="00340CDA" w:rsidRPr="00F96E00" w:rsidRDefault="00340CDA" w:rsidP="00816ED3">
            <w:pPr>
              <w:spacing w:line="480" w:lineRule="auto"/>
              <w:jc w:val="center"/>
            </w:pPr>
            <w:r w:rsidRPr="00AF3DE1">
              <w:t>20%</w:t>
            </w:r>
          </w:p>
        </w:tc>
        <w:tc>
          <w:tcPr>
            <w:tcW w:w="1260" w:type="dxa"/>
          </w:tcPr>
          <w:p w14:paraId="35853292" w14:textId="77777777" w:rsidR="00340CDA" w:rsidRPr="00F96E00" w:rsidRDefault="00340CDA" w:rsidP="00816ED3">
            <w:pPr>
              <w:spacing w:line="480" w:lineRule="auto"/>
              <w:jc w:val="center"/>
            </w:pPr>
            <w:r w:rsidRPr="00AF3DE1">
              <w:t>1%</w:t>
            </w:r>
          </w:p>
        </w:tc>
      </w:tr>
      <w:tr w:rsidR="00340CDA" w14:paraId="51FD36DC" w14:textId="77777777" w:rsidTr="00340CDA">
        <w:tc>
          <w:tcPr>
            <w:tcW w:w="2184" w:type="dxa"/>
          </w:tcPr>
          <w:p w14:paraId="462E9132" w14:textId="77777777" w:rsidR="00340CDA" w:rsidRPr="00F96E00" w:rsidRDefault="00340CDA" w:rsidP="00816ED3">
            <w:pPr>
              <w:spacing w:line="480" w:lineRule="auto"/>
            </w:pPr>
            <w:r w:rsidRPr="00AF3DE1">
              <w:t>Everett</w:t>
            </w:r>
            <w:r>
              <w:t xml:space="preserve"> (Lincoln)</w:t>
            </w:r>
          </w:p>
        </w:tc>
        <w:tc>
          <w:tcPr>
            <w:tcW w:w="943" w:type="dxa"/>
          </w:tcPr>
          <w:p w14:paraId="03851544" w14:textId="77777777" w:rsidR="00340CDA" w:rsidRPr="00F96E00" w:rsidRDefault="00340CDA" w:rsidP="00816ED3">
            <w:pPr>
              <w:spacing w:line="480" w:lineRule="auto"/>
              <w:jc w:val="center"/>
            </w:pPr>
            <w:r w:rsidRPr="00AF3DE1">
              <w:t>89%</w:t>
            </w:r>
          </w:p>
        </w:tc>
        <w:tc>
          <w:tcPr>
            <w:tcW w:w="1110" w:type="dxa"/>
          </w:tcPr>
          <w:p w14:paraId="238D8CF9" w14:textId="77777777" w:rsidR="00340CDA" w:rsidRPr="00F96E00" w:rsidRDefault="00340CDA" w:rsidP="00816ED3">
            <w:pPr>
              <w:spacing w:line="480" w:lineRule="auto"/>
              <w:jc w:val="center"/>
            </w:pPr>
            <w:r w:rsidRPr="00AF3DE1">
              <w:t>445</w:t>
            </w:r>
          </w:p>
        </w:tc>
        <w:tc>
          <w:tcPr>
            <w:tcW w:w="888" w:type="dxa"/>
          </w:tcPr>
          <w:p w14:paraId="0865F9F0" w14:textId="77777777" w:rsidR="00340CDA" w:rsidRPr="00F96E00" w:rsidRDefault="00340CDA" w:rsidP="00816ED3">
            <w:pPr>
              <w:spacing w:line="480" w:lineRule="auto"/>
              <w:jc w:val="center"/>
            </w:pPr>
            <w:r w:rsidRPr="00AF3DE1">
              <w:t>32%</w:t>
            </w:r>
          </w:p>
        </w:tc>
        <w:tc>
          <w:tcPr>
            <w:tcW w:w="1260" w:type="dxa"/>
          </w:tcPr>
          <w:p w14:paraId="4B32189F" w14:textId="77777777" w:rsidR="00340CDA" w:rsidRPr="00F96E00" w:rsidRDefault="00340CDA" w:rsidP="00816ED3">
            <w:pPr>
              <w:spacing w:line="480" w:lineRule="auto"/>
              <w:jc w:val="center"/>
            </w:pPr>
            <w:r w:rsidRPr="00AF3DE1">
              <w:t>11%</w:t>
            </w:r>
          </w:p>
        </w:tc>
        <w:tc>
          <w:tcPr>
            <w:tcW w:w="1170" w:type="dxa"/>
          </w:tcPr>
          <w:p w14:paraId="5BE75A96" w14:textId="77777777" w:rsidR="00340CDA" w:rsidRPr="00F96E00" w:rsidRDefault="00340CDA" w:rsidP="00816ED3">
            <w:pPr>
              <w:spacing w:line="480" w:lineRule="auto"/>
              <w:jc w:val="center"/>
            </w:pPr>
            <w:r w:rsidRPr="00AF3DE1">
              <w:t>38%</w:t>
            </w:r>
          </w:p>
        </w:tc>
        <w:tc>
          <w:tcPr>
            <w:tcW w:w="1260" w:type="dxa"/>
          </w:tcPr>
          <w:p w14:paraId="558B09A1" w14:textId="77777777" w:rsidR="00340CDA" w:rsidRPr="00F96E00" w:rsidRDefault="00340CDA" w:rsidP="00816ED3">
            <w:pPr>
              <w:spacing w:line="480" w:lineRule="auto"/>
              <w:jc w:val="center"/>
            </w:pPr>
            <w:r w:rsidRPr="00AF3DE1">
              <w:t>1%</w:t>
            </w:r>
          </w:p>
        </w:tc>
      </w:tr>
      <w:tr w:rsidR="00340CDA" w14:paraId="0FD0138C" w14:textId="77777777" w:rsidTr="00340CDA">
        <w:tc>
          <w:tcPr>
            <w:tcW w:w="2184" w:type="dxa"/>
          </w:tcPr>
          <w:p w14:paraId="7A2E79CC" w14:textId="77777777" w:rsidR="00340CDA" w:rsidRPr="001D71E4" w:rsidRDefault="00340CDA" w:rsidP="00816ED3">
            <w:pPr>
              <w:spacing w:line="480" w:lineRule="auto"/>
            </w:pPr>
            <w:r w:rsidRPr="001D71E4">
              <w:t>Howard (Grand Island)</w:t>
            </w:r>
          </w:p>
        </w:tc>
        <w:tc>
          <w:tcPr>
            <w:tcW w:w="943" w:type="dxa"/>
          </w:tcPr>
          <w:p w14:paraId="64038C2E" w14:textId="77777777" w:rsidR="00340CDA" w:rsidRPr="00C10962" w:rsidRDefault="00340CDA" w:rsidP="00816ED3">
            <w:pPr>
              <w:spacing w:line="480" w:lineRule="auto"/>
              <w:jc w:val="center"/>
            </w:pPr>
            <w:r w:rsidRPr="00C10962">
              <w:t>95%</w:t>
            </w:r>
          </w:p>
        </w:tc>
        <w:tc>
          <w:tcPr>
            <w:tcW w:w="1110" w:type="dxa"/>
          </w:tcPr>
          <w:p w14:paraId="7725B153" w14:textId="77777777" w:rsidR="00340CDA" w:rsidRPr="00C10962" w:rsidRDefault="00340CDA" w:rsidP="00816ED3">
            <w:pPr>
              <w:spacing w:line="480" w:lineRule="auto"/>
              <w:jc w:val="center"/>
            </w:pPr>
            <w:r w:rsidRPr="00C10962">
              <w:t>375</w:t>
            </w:r>
          </w:p>
        </w:tc>
        <w:tc>
          <w:tcPr>
            <w:tcW w:w="888" w:type="dxa"/>
          </w:tcPr>
          <w:p w14:paraId="7C10BD93" w14:textId="77777777" w:rsidR="00340CDA" w:rsidRPr="00C10962" w:rsidRDefault="00340CDA" w:rsidP="00816ED3">
            <w:pPr>
              <w:spacing w:line="480" w:lineRule="auto"/>
              <w:jc w:val="center"/>
            </w:pPr>
            <w:r w:rsidRPr="00C10962">
              <w:t>11%</w:t>
            </w:r>
          </w:p>
        </w:tc>
        <w:tc>
          <w:tcPr>
            <w:tcW w:w="1260" w:type="dxa"/>
          </w:tcPr>
          <w:p w14:paraId="2945BD7E" w14:textId="77777777" w:rsidR="00340CDA" w:rsidRPr="00C10962" w:rsidRDefault="00340CDA" w:rsidP="00816ED3">
            <w:pPr>
              <w:spacing w:line="480" w:lineRule="auto"/>
              <w:jc w:val="center"/>
            </w:pPr>
            <w:r w:rsidRPr="00C10962">
              <w:t>1%</w:t>
            </w:r>
          </w:p>
        </w:tc>
        <w:tc>
          <w:tcPr>
            <w:tcW w:w="1170" w:type="dxa"/>
          </w:tcPr>
          <w:p w14:paraId="738365CF" w14:textId="77777777" w:rsidR="00340CDA" w:rsidRPr="00C10962" w:rsidRDefault="00340CDA" w:rsidP="00816ED3">
            <w:pPr>
              <w:spacing w:line="480" w:lineRule="auto"/>
              <w:jc w:val="center"/>
            </w:pPr>
            <w:r w:rsidRPr="00C10962">
              <w:t>85%</w:t>
            </w:r>
          </w:p>
        </w:tc>
        <w:tc>
          <w:tcPr>
            <w:tcW w:w="1260" w:type="dxa"/>
          </w:tcPr>
          <w:p w14:paraId="12E5AAA4" w14:textId="77777777" w:rsidR="00340CDA" w:rsidRPr="00C10962" w:rsidRDefault="00340CDA" w:rsidP="00816ED3">
            <w:pPr>
              <w:spacing w:line="480" w:lineRule="auto"/>
              <w:jc w:val="center"/>
            </w:pPr>
            <w:r w:rsidRPr="00C10962">
              <w:t>2%</w:t>
            </w:r>
          </w:p>
        </w:tc>
      </w:tr>
      <w:tr w:rsidR="00340CDA" w14:paraId="122FF1EE" w14:textId="77777777" w:rsidTr="00340CDA">
        <w:tc>
          <w:tcPr>
            <w:tcW w:w="2184" w:type="dxa"/>
          </w:tcPr>
          <w:p w14:paraId="3C8A9DA7" w14:textId="77777777" w:rsidR="00340CDA" w:rsidRPr="001D71E4" w:rsidRDefault="00340CDA" w:rsidP="00816ED3">
            <w:pPr>
              <w:spacing w:line="480" w:lineRule="auto"/>
            </w:pPr>
            <w:r w:rsidRPr="001D71E4">
              <w:t xml:space="preserve">Harney </w:t>
            </w:r>
            <w:r>
              <w:t>(</w:t>
            </w:r>
            <w:r w:rsidRPr="001D71E4">
              <w:t>So</w:t>
            </w:r>
            <w:r>
              <w:t>uth</w:t>
            </w:r>
            <w:r w:rsidRPr="001D71E4">
              <w:t xml:space="preserve"> Sioux City</w:t>
            </w:r>
            <w:r>
              <w:t>)</w:t>
            </w:r>
          </w:p>
        </w:tc>
        <w:tc>
          <w:tcPr>
            <w:tcW w:w="943" w:type="dxa"/>
          </w:tcPr>
          <w:p w14:paraId="2CCEE78F" w14:textId="77777777" w:rsidR="00340CDA" w:rsidRPr="001D71E4" w:rsidRDefault="00340CDA" w:rsidP="00816ED3">
            <w:pPr>
              <w:spacing w:line="480" w:lineRule="auto"/>
              <w:jc w:val="center"/>
              <w:rPr>
                <w:color w:val="000000"/>
              </w:rPr>
            </w:pPr>
            <w:r w:rsidRPr="001D71E4">
              <w:t>94%</w:t>
            </w:r>
          </w:p>
        </w:tc>
        <w:tc>
          <w:tcPr>
            <w:tcW w:w="1110" w:type="dxa"/>
          </w:tcPr>
          <w:p w14:paraId="18963543" w14:textId="77777777" w:rsidR="00340CDA" w:rsidRPr="001D71E4" w:rsidRDefault="00340CDA" w:rsidP="00816ED3">
            <w:pPr>
              <w:spacing w:line="480" w:lineRule="auto"/>
              <w:jc w:val="center"/>
              <w:rPr>
                <w:color w:val="000000"/>
              </w:rPr>
            </w:pPr>
            <w:r w:rsidRPr="001D71E4">
              <w:t>353</w:t>
            </w:r>
          </w:p>
        </w:tc>
        <w:tc>
          <w:tcPr>
            <w:tcW w:w="888" w:type="dxa"/>
          </w:tcPr>
          <w:p w14:paraId="55861CC9" w14:textId="77777777" w:rsidR="00340CDA" w:rsidRPr="001D71E4" w:rsidRDefault="00340CDA" w:rsidP="00816ED3">
            <w:pPr>
              <w:spacing w:line="480" w:lineRule="auto"/>
              <w:jc w:val="center"/>
              <w:rPr>
                <w:color w:val="000000"/>
              </w:rPr>
            </w:pPr>
            <w:r w:rsidRPr="001D71E4">
              <w:t>10%</w:t>
            </w:r>
          </w:p>
        </w:tc>
        <w:tc>
          <w:tcPr>
            <w:tcW w:w="1260" w:type="dxa"/>
          </w:tcPr>
          <w:p w14:paraId="150B35DF" w14:textId="77777777" w:rsidR="00340CDA" w:rsidRPr="001D71E4" w:rsidRDefault="00340CDA" w:rsidP="00816ED3">
            <w:pPr>
              <w:spacing w:line="480" w:lineRule="auto"/>
              <w:jc w:val="center"/>
              <w:rPr>
                <w:color w:val="000000"/>
              </w:rPr>
            </w:pPr>
            <w:r w:rsidRPr="001D71E4">
              <w:t>17%</w:t>
            </w:r>
          </w:p>
        </w:tc>
        <w:tc>
          <w:tcPr>
            <w:tcW w:w="1170" w:type="dxa"/>
          </w:tcPr>
          <w:p w14:paraId="6A1E603C" w14:textId="77777777" w:rsidR="00340CDA" w:rsidRPr="001D71E4" w:rsidRDefault="00340CDA" w:rsidP="00816ED3">
            <w:pPr>
              <w:spacing w:line="480" w:lineRule="auto"/>
              <w:jc w:val="center"/>
              <w:rPr>
                <w:color w:val="000000"/>
              </w:rPr>
            </w:pPr>
            <w:r w:rsidRPr="001D71E4">
              <w:t>80%</w:t>
            </w:r>
          </w:p>
        </w:tc>
        <w:tc>
          <w:tcPr>
            <w:tcW w:w="1260" w:type="dxa"/>
          </w:tcPr>
          <w:p w14:paraId="2A5ECECA" w14:textId="77777777" w:rsidR="00340CDA" w:rsidRPr="001D71E4" w:rsidRDefault="00340CDA" w:rsidP="00816ED3">
            <w:pPr>
              <w:spacing w:line="480" w:lineRule="auto"/>
              <w:jc w:val="center"/>
              <w:rPr>
                <w:color w:val="000000"/>
              </w:rPr>
            </w:pPr>
            <w:r w:rsidRPr="001D71E4">
              <w:t>3%</w:t>
            </w:r>
          </w:p>
        </w:tc>
      </w:tr>
      <w:tr w:rsidR="00340CDA" w14:paraId="4CF5962B" w14:textId="77777777" w:rsidTr="00340CDA">
        <w:tc>
          <w:tcPr>
            <w:tcW w:w="2184" w:type="dxa"/>
          </w:tcPr>
          <w:p w14:paraId="5460E311" w14:textId="77777777" w:rsidR="00340CDA" w:rsidRPr="001D71E4" w:rsidRDefault="00340CDA" w:rsidP="00816ED3">
            <w:pPr>
              <w:spacing w:line="480" w:lineRule="auto"/>
            </w:pPr>
            <w:r w:rsidRPr="001D71E4">
              <w:t xml:space="preserve">Washington </w:t>
            </w:r>
            <w:r>
              <w:t>(</w:t>
            </w:r>
            <w:r w:rsidRPr="001D71E4">
              <w:t>Fremont</w:t>
            </w:r>
            <w:r>
              <w:t>)</w:t>
            </w:r>
          </w:p>
        </w:tc>
        <w:tc>
          <w:tcPr>
            <w:tcW w:w="943" w:type="dxa"/>
          </w:tcPr>
          <w:p w14:paraId="23F3F871" w14:textId="77777777" w:rsidR="00340CDA" w:rsidRPr="001D71E4" w:rsidRDefault="00340CDA" w:rsidP="00816ED3">
            <w:pPr>
              <w:spacing w:line="480" w:lineRule="auto"/>
              <w:jc w:val="center"/>
              <w:rPr>
                <w:color w:val="000000"/>
              </w:rPr>
            </w:pPr>
            <w:r w:rsidRPr="001D71E4">
              <w:t>90%</w:t>
            </w:r>
          </w:p>
        </w:tc>
        <w:tc>
          <w:tcPr>
            <w:tcW w:w="1110" w:type="dxa"/>
          </w:tcPr>
          <w:p w14:paraId="618EC4CA" w14:textId="77777777" w:rsidR="00340CDA" w:rsidRPr="001D71E4" w:rsidRDefault="00340CDA" w:rsidP="00816ED3">
            <w:pPr>
              <w:spacing w:line="480" w:lineRule="auto"/>
              <w:jc w:val="center"/>
              <w:rPr>
                <w:color w:val="000000"/>
              </w:rPr>
            </w:pPr>
            <w:r w:rsidRPr="001D71E4">
              <w:t>309</w:t>
            </w:r>
          </w:p>
        </w:tc>
        <w:tc>
          <w:tcPr>
            <w:tcW w:w="888" w:type="dxa"/>
          </w:tcPr>
          <w:p w14:paraId="3D206CFF" w14:textId="77777777" w:rsidR="00340CDA" w:rsidRPr="001D71E4" w:rsidRDefault="00340CDA" w:rsidP="00816ED3">
            <w:pPr>
              <w:spacing w:line="480" w:lineRule="auto"/>
              <w:jc w:val="center"/>
              <w:rPr>
                <w:color w:val="000000"/>
              </w:rPr>
            </w:pPr>
            <w:r w:rsidRPr="001D71E4">
              <w:t>15%</w:t>
            </w:r>
          </w:p>
        </w:tc>
        <w:tc>
          <w:tcPr>
            <w:tcW w:w="1260" w:type="dxa"/>
          </w:tcPr>
          <w:p w14:paraId="200256E5" w14:textId="77777777" w:rsidR="00340CDA" w:rsidRPr="001D71E4" w:rsidRDefault="00340CDA" w:rsidP="00816ED3">
            <w:pPr>
              <w:spacing w:line="480" w:lineRule="auto"/>
              <w:jc w:val="center"/>
              <w:rPr>
                <w:color w:val="000000"/>
              </w:rPr>
            </w:pPr>
            <w:r w:rsidRPr="001D71E4">
              <w:t>1%</w:t>
            </w:r>
          </w:p>
        </w:tc>
        <w:tc>
          <w:tcPr>
            <w:tcW w:w="1170" w:type="dxa"/>
          </w:tcPr>
          <w:p w14:paraId="14CC4405" w14:textId="77777777" w:rsidR="00340CDA" w:rsidRPr="001D71E4" w:rsidRDefault="00340CDA" w:rsidP="00816ED3">
            <w:pPr>
              <w:spacing w:line="480" w:lineRule="auto"/>
              <w:jc w:val="center"/>
              <w:rPr>
                <w:color w:val="000000"/>
              </w:rPr>
            </w:pPr>
            <w:r w:rsidRPr="001D71E4">
              <w:t>84%</w:t>
            </w:r>
          </w:p>
        </w:tc>
        <w:tc>
          <w:tcPr>
            <w:tcW w:w="1260" w:type="dxa"/>
          </w:tcPr>
          <w:p w14:paraId="7B5A2976" w14:textId="77777777" w:rsidR="00340CDA" w:rsidRPr="001D71E4" w:rsidRDefault="00340CDA" w:rsidP="00816ED3">
            <w:pPr>
              <w:spacing w:line="480" w:lineRule="auto"/>
              <w:jc w:val="center"/>
              <w:rPr>
                <w:color w:val="000000"/>
              </w:rPr>
            </w:pPr>
            <w:r w:rsidRPr="001D71E4">
              <w:t>0%</w:t>
            </w:r>
          </w:p>
        </w:tc>
      </w:tr>
    </w:tbl>
    <w:bookmarkEnd w:id="0"/>
    <w:p w14:paraId="048EC4AB" w14:textId="77777777" w:rsidR="00340CDA" w:rsidRPr="005F3CB0" w:rsidRDefault="00340CDA" w:rsidP="00340CDA">
      <w:pPr>
        <w:spacing w:line="480" w:lineRule="auto"/>
      </w:pPr>
      <w:r w:rsidRPr="005F3CB0">
        <w:t xml:space="preserve">   * FRL rate from 2015 – no rate available since then</w:t>
      </w:r>
    </w:p>
    <w:p w14:paraId="1609257F" w14:textId="77777777" w:rsidR="00340CDA" w:rsidRDefault="00340CDA" w:rsidP="00340CDA">
      <w:pPr>
        <w:sectPr w:rsidR="00340CDA" w:rsidSect="00340CDA">
          <w:pgSz w:w="12240" w:h="15840"/>
          <w:pgMar w:top="1440" w:right="1440" w:bottom="1440" w:left="1440" w:header="720" w:footer="720" w:gutter="0"/>
          <w:cols w:space="720"/>
          <w:docGrid w:linePitch="360"/>
        </w:sectPr>
      </w:pPr>
    </w:p>
    <w:p w14:paraId="601C5F85" w14:textId="30039F75" w:rsidR="00340CDA" w:rsidRDefault="00340CDA" w:rsidP="00340CDA">
      <w:r>
        <w:lastRenderedPageBreak/>
        <w:t xml:space="preserve">Table 9. </w:t>
      </w:r>
      <w:r w:rsidRPr="002B4E17">
        <w:t xml:space="preserve">Reading and English Language Arts Scores for </w:t>
      </w:r>
      <w:r>
        <w:t xml:space="preserve">High FRL, No SIG </w:t>
      </w:r>
      <w:r w:rsidRPr="002B4E17">
        <w:t>Nebraska schools</w:t>
      </w:r>
      <w:r>
        <w:t>.</w:t>
      </w:r>
    </w:p>
    <w:p w14:paraId="3B894E01" w14:textId="77777777" w:rsidR="00340CDA" w:rsidRDefault="00340CDA" w:rsidP="00340CDA"/>
    <w:tbl>
      <w:tblPr>
        <w:tblStyle w:val="TableGrid"/>
        <w:tblW w:w="12415" w:type="dxa"/>
        <w:tblLayout w:type="fixed"/>
        <w:tblLook w:val="04A0" w:firstRow="1" w:lastRow="0" w:firstColumn="1" w:lastColumn="0" w:noHBand="0" w:noVBand="1"/>
      </w:tblPr>
      <w:tblGrid>
        <w:gridCol w:w="5215"/>
        <w:gridCol w:w="720"/>
        <w:gridCol w:w="720"/>
        <w:gridCol w:w="720"/>
        <w:gridCol w:w="720"/>
        <w:gridCol w:w="720"/>
        <w:gridCol w:w="720"/>
        <w:gridCol w:w="720"/>
        <w:gridCol w:w="720"/>
        <w:gridCol w:w="720"/>
        <w:gridCol w:w="720"/>
      </w:tblGrid>
      <w:tr w:rsidR="00340CDA" w14:paraId="44DEA36C" w14:textId="77777777" w:rsidTr="00816ED3">
        <w:tc>
          <w:tcPr>
            <w:tcW w:w="5215" w:type="dxa"/>
          </w:tcPr>
          <w:p w14:paraId="1D824A4B" w14:textId="77777777" w:rsidR="00340CDA" w:rsidRPr="00F96E00" w:rsidRDefault="00340CDA" w:rsidP="00816ED3">
            <w:pPr>
              <w:spacing w:line="480" w:lineRule="auto"/>
            </w:pPr>
          </w:p>
        </w:tc>
        <w:tc>
          <w:tcPr>
            <w:tcW w:w="720" w:type="dxa"/>
          </w:tcPr>
          <w:p w14:paraId="2A68CF20" w14:textId="77777777" w:rsidR="00340CDA" w:rsidRPr="00F96E00" w:rsidRDefault="00340CDA" w:rsidP="00816ED3">
            <w:pPr>
              <w:spacing w:line="480" w:lineRule="auto"/>
              <w:jc w:val="center"/>
              <w:rPr>
                <w:b/>
                <w:bCs/>
              </w:rPr>
            </w:pPr>
            <w:r w:rsidRPr="00F96E00">
              <w:rPr>
                <w:b/>
                <w:bCs/>
              </w:rPr>
              <w:t>2010</w:t>
            </w:r>
          </w:p>
        </w:tc>
        <w:tc>
          <w:tcPr>
            <w:tcW w:w="720" w:type="dxa"/>
          </w:tcPr>
          <w:p w14:paraId="11DEDB17" w14:textId="77777777" w:rsidR="00340CDA" w:rsidRPr="00F96E00" w:rsidRDefault="00340CDA" w:rsidP="00816ED3">
            <w:pPr>
              <w:spacing w:line="480" w:lineRule="auto"/>
              <w:jc w:val="center"/>
              <w:rPr>
                <w:b/>
                <w:bCs/>
              </w:rPr>
            </w:pPr>
            <w:r w:rsidRPr="00F96E00">
              <w:rPr>
                <w:b/>
                <w:bCs/>
              </w:rPr>
              <w:t>2011</w:t>
            </w:r>
          </w:p>
        </w:tc>
        <w:tc>
          <w:tcPr>
            <w:tcW w:w="720" w:type="dxa"/>
          </w:tcPr>
          <w:p w14:paraId="2D87BA61" w14:textId="77777777" w:rsidR="00340CDA" w:rsidRPr="00F96E00" w:rsidRDefault="00340CDA" w:rsidP="00816ED3">
            <w:pPr>
              <w:spacing w:line="480" w:lineRule="auto"/>
              <w:jc w:val="center"/>
              <w:rPr>
                <w:b/>
                <w:bCs/>
              </w:rPr>
            </w:pPr>
            <w:r w:rsidRPr="00F96E00">
              <w:rPr>
                <w:b/>
                <w:bCs/>
              </w:rPr>
              <w:t>2012</w:t>
            </w:r>
          </w:p>
        </w:tc>
        <w:tc>
          <w:tcPr>
            <w:tcW w:w="720" w:type="dxa"/>
          </w:tcPr>
          <w:p w14:paraId="4B05D77B" w14:textId="77777777" w:rsidR="00340CDA" w:rsidRPr="00F96E00" w:rsidRDefault="00340CDA" w:rsidP="00816ED3">
            <w:pPr>
              <w:spacing w:line="480" w:lineRule="auto"/>
              <w:jc w:val="center"/>
              <w:rPr>
                <w:b/>
                <w:bCs/>
              </w:rPr>
            </w:pPr>
            <w:r w:rsidRPr="00F96E00">
              <w:rPr>
                <w:b/>
                <w:bCs/>
              </w:rPr>
              <w:t>2013</w:t>
            </w:r>
          </w:p>
        </w:tc>
        <w:tc>
          <w:tcPr>
            <w:tcW w:w="720" w:type="dxa"/>
          </w:tcPr>
          <w:p w14:paraId="3A286506" w14:textId="77777777" w:rsidR="00340CDA" w:rsidRPr="00F96E00" w:rsidRDefault="00340CDA" w:rsidP="00816ED3">
            <w:pPr>
              <w:spacing w:line="480" w:lineRule="auto"/>
              <w:jc w:val="center"/>
              <w:rPr>
                <w:b/>
                <w:bCs/>
              </w:rPr>
            </w:pPr>
            <w:r w:rsidRPr="00F96E00">
              <w:rPr>
                <w:b/>
                <w:bCs/>
              </w:rPr>
              <w:t>2014</w:t>
            </w:r>
          </w:p>
        </w:tc>
        <w:tc>
          <w:tcPr>
            <w:tcW w:w="720" w:type="dxa"/>
          </w:tcPr>
          <w:p w14:paraId="3AB85AC4" w14:textId="77777777" w:rsidR="00340CDA" w:rsidRPr="00F96E00" w:rsidRDefault="00340CDA" w:rsidP="00816ED3">
            <w:pPr>
              <w:spacing w:line="480" w:lineRule="auto"/>
              <w:jc w:val="center"/>
              <w:rPr>
                <w:b/>
                <w:bCs/>
              </w:rPr>
            </w:pPr>
            <w:r w:rsidRPr="00F96E00">
              <w:rPr>
                <w:b/>
                <w:bCs/>
              </w:rPr>
              <w:t>2015</w:t>
            </w:r>
          </w:p>
        </w:tc>
        <w:tc>
          <w:tcPr>
            <w:tcW w:w="720" w:type="dxa"/>
          </w:tcPr>
          <w:p w14:paraId="4D7EE4E6" w14:textId="77777777" w:rsidR="00340CDA" w:rsidRPr="00F96E00" w:rsidRDefault="00340CDA" w:rsidP="00816ED3">
            <w:pPr>
              <w:spacing w:line="480" w:lineRule="auto"/>
              <w:jc w:val="center"/>
              <w:rPr>
                <w:b/>
                <w:bCs/>
              </w:rPr>
            </w:pPr>
            <w:r w:rsidRPr="00F96E00">
              <w:rPr>
                <w:b/>
                <w:bCs/>
              </w:rPr>
              <w:t>2016</w:t>
            </w:r>
          </w:p>
        </w:tc>
        <w:tc>
          <w:tcPr>
            <w:tcW w:w="720" w:type="dxa"/>
          </w:tcPr>
          <w:p w14:paraId="18202147" w14:textId="77777777" w:rsidR="00340CDA" w:rsidRPr="00F96E00" w:rsidRDefault="00340CDA" w:rsidP="00816ED3">
            <w:pPr>
              <w:spacing w:line="480" w:lineRule="auto"/>
              <w:jc w:val="center"/>
              <w:rPr>
                <w:b/>
                <w:bCs/>
              </w:rPr>
            </w:pPr>
            <w:r w:rsidRPr="00F96E00">
              <w:rPr>
                <w:b/>
                <w:bCs/>
              </w:rPr>
              <w:t>2017</w:t>
            </w:r>
          </w:p>
        </w:tc>
        <w:tc>
          <w:tcPr>
            <w:tcW w:w="720" w:type="dxa"/>
          </w:tcPr>
          <w:p w14:paraId="23A94C7A" w14:textId="77777777" w:rsidR="00340CDA" w:rsidRPr="00F96E00" w:rsidRDefault="00340CDA" w:rsidP="00816ED3">
            <w:pPr>
              <w:spacing w:line="480" w:lineRule="auto"/>
              <w:jc w:val="center"/>
              <w:rPr>
                <w:b/>
                <w:bCs/>
              </w:rPr>
            </w:pPr>
            <w:r w:rsidRPr="00F96E00">
              <w:rPr>
                <w:b/>
                <w:bCs/>
              </w:rPr>
              <w:t>2018</w:t>
            </w:r>
          </w:p>
        </w:tc>
        <w:tc>
          <w:tcPr>
            <w:tcW w:w="720" w:type="dxa"/>
          </w:tcPr>
          <w:p w14:paraId="30E7BA30" w14:textId="77777777" w:rsidR="00340CDA" w:rsidRPr="00F96E00" w:rsidRDefault="00340CDA" w:rsidP="00816ED3">
            <w:pPr>
              <w:spacing w:line="480" w:lineRule="auto"/>
              <w:jc w:val="center"/>
              <w:rPr>
                <w:b/>
                <w:bCs/>
              </w:rPr>
            </w:pPr>
            <w:r w:rsidRPr="00F96E00">
              <w:rPr>
                <w:b/>
                <w:bCs/>
              </w:rPr>
              <w:t>2019</w:t>
            </w:r>
          </w:p>
        </w:tc>
      </w:tr>
      <w:tr w:rsidR="00340CDA" w14:paraId="7E9B5710" w14:textId="77777777" w:rsidTr="00816ED3">
        <w:tc>
          <w:tcPr>
            <w:tcW w:w="5215" w:type="dxa"/>
            <w:tcBorders>
              <w:top w:val="single" w:sz="4" w:space="0" w:color="auto"/>
              <w:bottom w:val="single" w:sz="4" w:space="0" w:color="auto"/>
              <w:right w:val="single" w:sz="4" w:space="0" w:color="auto"/>
            </w:tcBorders>
          </w:tcPr>
          <w:p w14:paraId="2C3033DD" w14:textId="77777777" w:rsidR="00340CDA" w:rsidRPr="00F96E00" w:rsidRDefault="00340CDA" w:rsidP="00816ED3">
            <w:pPr>
              <w:spacing w:line="480" w:lineRule="auto"/>
            </w:pPr>
            <w:r w:rsidRPr="00F96E00">
              <w:t>Druid Hills</w:t>
            </w:r>
            <w:r>
              <w:t xml:space="preserve"> (Omaha)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0425FA7" w14:textId="77777777" w:rsidR="00340CDA" w:rsidRPr="00F96E00" w:rsidRDefault="00340CDA" w:rsidP="00816ED3">
            <w:pPr>
              <w:spacing w:line="480" w:lineRule="auto"/>
              <w:jc w:val="center"/>
            </w:pPr>
            <w:r w:rsidRPr="00F96E00">
              <w:rPr>
                <w:color w:val="000000"/>
              </w:rPr>
              <w:t>69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D5C769E" w14:textId="77777777" w:rsidR="00340CDA" w:rsidRPr="00F96E00" w:rsidRDefault="00340CDA" w:rsidP="00816ED3">
            <w:pPr>
              <w:spacing w:line="480" w:lineRule="auto"/>
              <w:jc w:val="center"/>
            </w:pPr>
            <w:r w:rsidRPr="00F96E00">
              <w:rPr>
                <w:color w:val="000000"/>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3F42EB" w14:textId="77777777" w:rsidR="00340CDA" w:rsidRPr="00F96E00" w:rsidRDefault="00340CDA" w:rsidP="00816ED3">
            <w:pPr>
              <w:spacing w:line="480" w:lineRule="auto"/>
              <w:jc w:val="center"/>
            </w:pPr>
            <w:r w:rsidRPr="00F96E00">
              <w:rPr>
                <w:color w:val="000000"/>
              </w:rPr>
              <w:t>81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8F72210" w14:textId="77777777" w:rsidR="00340CDA" w:rsidRPr="00F96E00" w:rsidRDefault="00340CDA" w:rsidP="00816ED3">
            <w:pPr>
              <w:spacing w:line="480" w:lineRule="auto"/>
              <w:jc w:val="center"/>
            </w:pPr>
            <w:r w:rsidRPr="00F96E00">
              <w:rPr>
                <w:color w:val="000000"/>
              </w:rPr>
              <w:t>7</w:t>
            </w:r>
            <w:r>
              <w:rPr>
                <w:color w:val="000000"/>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BE2A0D7" w14:textId="77777777" w:rsidR="00340CDA" w:rsidRPr="00F96E00" w:rsidRDefault="00340CDA" w:rsidP="00816ED3">
            <w:pPr>
              <w:spacing w:line="480" w:lineRule="auto"/>
              <w:jc w:val="center"/>
            </w:pPr>
            <w:r w:rsidRPr="00F96E00">
              <w:rPr>
                <w:color w:val="000000"/>
              </w:rPr>
              <w:t>7</w:t>
            </w:r>
            <w:r>
              <w:rPr>
                <w:color w:val="000000"/>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04160ED" w14:textId="77777777" w:rsidR="00340CDA" w:rsidRPr="00F96E00" w:rsidRDefault="00340CDA" w:rsidP="00816ED3">
            <w:pPr>
              <w:spacing w:line="480" w:lineRule="auto"/>
              <w:jc w:val="center"/>
            </w:pPr>
            <w:r w:rsidRPr="00F96E00">
              <w:rPr>
                <w:color w:val="000000"/>
              </w:rPr>
              <w:t>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73031A6" w14:textId="77777777" w:rsidR="00340CDA" w:rsidRPr="00F96E00" w:rsidRDefault="00340CDA" w:rsidP="00816ED3">
            <w:pPr>
              <w:spacing w:line="480" w:lineRule="auto"/>
              <w:jc w:val="center"/>
            </w:pPr>
            <w:r w:rsidRPr="00F96E00">
              <w:rPr>
                <w:color w:val="000000"/>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EED8711" w14:textId="77777777" w:rsidR="00340CDA" w:rsidRPr="00F96E00" w:rsidRDefault="00340CDA" w:rsidP="00816ED3">
            <w:pPr>
              <w:spacing w:line="480" w:lineRule="auto"/>
              <w:jc w:val="center"/>
            </w:pPr>
            <w:r w:rsidRPr="00F96E00">
              <w:rPr>
                <w:color w:val="000000"/>
              </w:rPr>
              <w:t>7</w:t>
            </w:r>
            <w:r>
              <w:rPr>
                <w:color w:val="000000"/>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963883D" w14:textId="77777777" w:rsidR="00340CDA" w:rsidRPr="00F96E00" w:rsidRDefault="00340CDA" w:rsidP="00816ED3">
            <w:pPr>
              <w:spacing w:line="480" w:lineRule="auto"/>
              <w:jc w:val="center"/>
            </w:pPr>
            <w:r w:rsidRPr="00F96E00">
              <w:rPr>
                <w:color w:val="000000"/>
              </w:rPr>
              <w:t>6</w:t>
            </w:r>
            <w:r>
              <w:rPr>
                <w:color w:val="000000"/>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A6E901B" w14:textId="77777777" w:rsidR="00340CDA" w:rsidRPr="00F96E00" w:rsidRDefault="00340CDA" w:rsidP="00816ED3">
            <w:pPr>
              <w:spacing w:line="480" w:lineRule="auto"/>
              <w:jc w:val="center"/>
            </w:pPr>
            <w:r w:rsidRPr="00F96E00">
              <w:rPr>
                <w:color w:val="000000"/>
              </w:rPr>
              <w:t>68</w:t>
            </w:r>
          </w:p>
        </w:tc>
      </w:tr>
      <w:tr w:rsidR="00340CDA" w14:paraId="5EC64B5A" w14:textId="77777777" w:rsidTr="00816ED3">
        <w:tc>
          <w:tcPr>
            <w:tcW w:w="5215" w:type="dxa"/>
            <w:tcBorders>
              <w:top w:val="single" w:sz="4" w:space="0" w:color="auto"/>
              <w:bottom w:val="single" w:sz="4" w:space="0" w:color="auto"/>
              <w:right w:val="single" w:sz="4" w:space="0" w:color="auto"/>
            </w:tcBorders>
          </w:tcPr>
          <w:p w14:paraId="2867F960" w14:textId="77777777" w:rsidR="00340CDA" w:rsidRPr="00F96E00" w:rsidRDefault="00340CDA" w:rsidP="00816ED3">
            <w:pPr>
              <w:spacing w:line="480" w:lineRule="auto"/>
            </w:pPr>
            <w:r w:rsidRPr="00F96E00">
              <w:t>Indian Hill</w:t>
            </w:r>
            <w:r>
              <w:t xml:space="preserve"> (Omaha)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7D69564" w14:textId="77777777" w:rsidR="00340CDA" w:rsidRPr="00F96E00" w:rsidRDefault="00340CDA" w:rsidP="00816ED3">
            <w:pPr>
              <w:spacing w:line="480" w:lineRule="auto"/>
              <w:jc w:val="center"/>
            </w:pPr>
            <w:r w:rsidRPr="00F96E00">
              <w:rPr>
                <w:color w:val="000000"/>
              </w:rPr>
              <w:t>75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E2DFC0A" w14:textId="77777777" w:rsidR="00340CDA" w:rsidRPr="00F96E00" w:rsidRDefault="00340CDA" w:rsidP="00816ED3">
            <w:pPr>
              <w:spacing w:line="480" w:lineRule="auto"/>
              <w:jc w:val="center"/>
            </w:pPr>
            <w:r w:rsidRPr="00F96E00">
              <w:rPr>
                <w:color w:val="000000"/>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52AD5E4" w14:textId="77777777" w:rsidR="00340CDA" w:rsidRPr="00F96E00" w:rsidRDefault="00340CDA" w:rsidP="00816ED3">
            <w:pPr>
              <w:spacing w:line="480" w:lineRule="auto"/>
              <w:jc w:val="center"/>
            </w:pPr>
            <w:r w:rsidRPr="00F96E00">
              <w:rPr>
                <w:color w:val="000000"/>
              </w:rPr>
              <w:t>87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75C3F87" w14:textId="77777777" w:rsidR="00340CDA" w:rsidRPr="00F96E00" w:rsidRDefault="00340CDA" w:rsidP="00816ED3">
            <w:pPr>
              <w:spacing w:line="480" w:lineRule="auto"/>
              <w:jc w:val="center"/>
            </w:pPr>
            <w:r w:rsidRPr="00F96E00">
              <w:rPr>
                <w:color w:val="000000"/>
              </w:rPr>
              <w:t>88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8FE04A0" w14:textId="77777777" w:rsidR="00340CDA" w:rsidRPr="00F96E00" w:rsidRDefault="00340CDA" w:rsidP="00816ED3">
            <w:pPr>
              <w:spacing w:line="480" w:lineRule="auto"/>
              <w:jc w:val="center"/>
            </w:pPr>
            <w:r w:rsidRPr="00F96E00">
              <w:rPr>
                <w:color w:val="000000"/>
              </w:rPr>
              <w:t>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0414CA" w14:textId="77777777" w:rsidR="00340CDA" w:rsidRPr="00F96E00" w:rsidRDefault="00340CDA" w:rsidP="00816ED3">
            <w:pPr>
              <w:spacing w:line="480" w:lineRule="auto"/>
              <w:jc w:val="center"/>
            </w:pPr>
            <w:r w:rsidRPr="00F96E00">
              <w:rPr>
                <w:color w:val="000000"/>
              </w:rPr>
              <w:t>97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B9E58BB" w14:textId="77777777" w:rsidR="00340CDA" w:rsidRPr="00F96E00" w:rsidRDefault="00340CDA" w:rsidP="00816ED3">
            <w:pPr>
              <w:spacing w:line="480" w:lineRule="auto"/>
              <w:jc w:val="center"/>
            </w:pPr>
            <w:r w:rsidRPr="00F96E00">
              <w:rPr>
                <w:color w:val="000000"/>
              </w:rPr>
              <w:t>10</w:t>
            </w:r>
            <w:r>
              <w:rPr>
                <w:color w:val="00000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4BEE57D" w14:textId="77777777" w:rsidR="00340CDA" w:rsidRPr="00F96E00" w:rsidRDefault="00340CDA" w:rsidP="00816ED3">
            <w:pPr>
              <w:spacing w:line="480" w:lineRule="auto"/>
              <w:jc w:val="center"/>
            </w:pPr>
            <w:r w:rsidRPr="00F96E00">
              <w:rPr>
                <w:color w:val="000000"/>
              </w:rPr>
              <w:t>78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A76A116" w14:textId="77777777" w:rsidR="00340CDA" w:rsidRPr="00F96E00" w:rsidRDefault="00340CDA" w:rsidP="00816ED3">
            <w:pPr>
              <w:spacing w:line="480" w:lineRule="auto"/>
              <w:jc w:val="center"/>
            </w:pPr>
            <w:r w:rsidRPr="00F96E00">
              <w:rPr>
                <w:color w:val="000000"/>
              </w:rPr>
              <w:t>73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40E9712" w14:textId="77777777" w:rsidR="00340CDA" w:rsidRPr="00F96E00" w:rsidRDefault="00340CDA" w:rsidP="00816ED3">
            <w:pPr>
              <w:spacing w:line="480" w:lineRule="auto"/>
              <w:jc w:val="center"/>
            </w:pPr>
            <w:r w:rsidRPr="00F96E00">
              <w:rPr>
                <w:color w:val="000000"/>
              </w:rPr>
              <w:t>71</w:t>
            </w:r>
          </w:p>
        </w:tc>
      </w:tr>
      <w:tr w:rsidR="00340CDA" w14:paraId="723F476B" w14:textId="77777777" w:rsidTr="00816ED3">
        <w:tc>
          <w:tcPr>
            <w:tcW w:w="5215" w:type="dxa"/>
            <w:tcBorders>
              <w:top w:val="single" w:sz="4" w:space="0" w:color="auto"/>
              <w:bottom w:val="single" w:sz="4" w:space="0" w:color="auto"/>
              <w:right w:val="single" w:sz="4" w:space="0" w:color="auto"/>
            </w:tcBorders>
          </w:tcPr>
          <w:p w14:paraId="7845B646" w14:textId="77777777" w:rsidR="00340CDA" w:rsidRPr="00F96E00" w:rsidRDefault="00340CDA" w:rsidP="00816ED3">
            <w:pPr>
              <w:spacing w:line="480" w:lineRule="auto"/>
            </w:pPr>
            <w:proofErr w:type="spellStart"/>
            <w:r w:rsidRPr="00F96E00">
              <w:t>Wakonda</w:t>
            </w:r>
            <w:proofErr w:type="spellEnd"/>
            <w:r>
              <w:t xml:space="preserve"> (Omaha)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6EA1EE" w14:textId="77777777" w:rsidR="00340CDA" w:rsidRPr="00F96E00" w:rsidRDefault="00340CDA" w:rsidP="00816ED3">
            <w:pPr>
              <w:spacing w:line="480" w:lineRule="auto"/>
              <w:jc w:val="center"/>
            </w:pPr>
            <w:r w:rsidRPr="00F96E00">
              <w:rPr>
                <w:color w:val="000000"/>
              </w:rPr>
              <w:t>6</w:t>
            </w:r>
            <w:r>
              <w:rPr>
                <w:color w:val="000000"/>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046DCBD" w14:textId="77777777" w:rsidR="00340CDA" w:rsidRPr="00F96E00" w:rsidRDefault="00340CDA" w:rsidP="00816ED3">
            <w:pPr>
              <w:spacing w:line="480" w:lineRule="auto"/>
              <w:jc w:val="center"/>
            </w:pPr>
            <w:r w:rsidRPr="00F96E00">
              <w:rPr>
                <w:color w:val="000000"/>
              </w:rPr>
              <w:t>69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98EF7C1" w14:textId="77777777" w:rsidR="00340CDA" w:rsidRPr="00F96E00" w:rsidRDefault="00340CDA" w:rsidP="00816ED3">
            <w:pPr>
              <w:spacing w:line="480" w:lineRule="auto"/>
              <w:jc w:val="center"/>
            </w:pPr>
            <w:r w:rsidRPr="00F96E00">
              <w:rPr>
                <w:color w:val="000000"/>
              </w:rPr>
              <w:t>7</w:t>
            </w:r>
            <w:r>
              <w:rPr>
                <w:color w:val="000000"/>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CC390B0" w14:textId="77777777" w:rsidR="00340CDA" w:rsidRPr="00F96E00" w:rsidRDefault="00340CDA" w:rsidP="00816ED3">
            <w:pPr>
              <w:spacing w:line="480" w:lineRule="auto"/>
              <w:jc w:val="center"/>
            </w:pPr>
            <w:r w:rsidRPr="00F96E00">
              <w:rPr>
                <w:color w:val="000000"/>
              </w:rPr>
              <w:t>72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5928727" w14:textId="77777777" w:rsidR="00340CDA" w:rsidRPr="00F96E00" w:rsidRDefault="00340CDA" w:rsidP="00816ED3">
            <w:pPr>
              <w:spacing w:line="480" w:lineRule="auto"/>
              <w:jc w:val="center"/>
            </w:pPr>
            <w:r>
              <w:rPr>
                <w:color w:val="000000"/>
              </w:rPr>
              <w:t>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57CD7D" w14:textId="77777777" w:rsidR="00340CDA" w:rsidRPr="00F96E00" w:rsidRDefault="00340CDA" w:rsidP="00816ED3">
            <w:pPr>
              <w:spacing w:line="480" w:lineRule="auto"/>
              <w:jc w:val="center"/>
            </w:pPr>
            <w:r w:rsidRPr="00F96E00">
              <w:rPr>
                <w:color w:val="000000"/>
              </w:rPr>
              <w:t>85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0732AF2" w14:textId="77777777" w:rsidR="00340CDA" w:rsidRPr="00F96E00" w:rsidRDefault="00340CDA" w:rsidP="00816ED3">
            <w:pPr>
              <w:spacing w:line="480" w:lineRule="auto"/>
              <w:jc w:val="center"/>
            </w:pPr>
            <w:r w:rsidRPr="00F96E00">
              <w:rPr>
                <w:color w:val="000000"/>
              </w:rPr>
              <w:t>9</w:t>
            </w:r>
            <w:r>
              <w:rPr>
                <w:color w:val="00000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D436D8A" w14:textId="77777777" w:rsidR="00340CDA" w:rsidRPr="00F96E00" w:rsidRDefault="00340CDA" w:rsidP="00816ED3">
            <w:pPr>
              <w:spacing w:line="480" w:lineRule="auto"/>
              <w:jc w:val="center"/>
            </w:pPr>
            <w:r w:rsidRPr="00F96E00">
              <w:rPr>
                <w:color w:val="000000"/>
              </w:rPr>
              <w:t>67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ECE28FD" w14:textId="77777777" w:rsidR="00340CDA" w:rsidRPr="00F96E00" w:rsidRDefault="00340CDA" w:rsidP="00816ED3">
            <w:pPr>
              <w:spacing w:line="480" w:lineRule="auto"/>
              <w:jc w:val="center"/>
            </w:pPr>
            <w:r w:rsidRPr="00F96E00">
              <w:rPr>
                <w:color w:val="000000"/>
              </w:rPr>
              <w:t>61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6075471" w14:textId="77777777" w:rsidR="00340CDA" w:rsidRPr="00F96E00" w:rsidRDefault="00340CDA" w:rsidP="00816ED3">
            <w:pPr>
              <w:spacing w:line="480" w:lineRule="auto"/>
              <w:jc w:val="center"/>
            </w:pPr>
            <w:r w:rsidRPr="00F96E00">
              <w:rPr>
                <w:color w:val="000000"/>
              </w:rPr>
              <w:t>6</w:t>
            </w:r>
            <w:r>
              <w:rPr>
                <w:color w:val="000000"/>
              </w:rPr>
              <w:t>9</w:t>
            </w:r>
          </w:p>
        </w:tc>
      </w:tr>
      <w:tr w:rsidR="00340CDA" w14:paraId="4C650596" w14:textId="77777777" w:rsidTr="00816ED3">
        <w:tc>
          <w:tcPr>
            <w:tcW w:w="5215" w:type="dxa"/>
            <w:tcBorders>
              <w:top w:val="single" w:sz="4" w:space="0" w:color="auto"/>
              <w:bottom w:val="single" w:sz="4" w:space="0" w:color="auto"/>
              <w:right w:val="single" w:sz="4" w:space="0" w:color="auto"/>
            </w:tcBorders>
          </w:tcPr>
          <w:p w14:paraId="00A3C1F2" w14:textId="77777777" w:rsidR="00340CDA" w:rsidRPr="00F96E00" w:rsidRDefault="00340CDA" w:rsidP="00816ED3">
            <w:pPr>
              <w:spacing w:line="480" w:lineRule="auto"/>
            </w:pPr>
            <w:r w:rsidRPr="00AF3DE1">
              <w:t>Clinton</w:t>
            </w:r>
            <w:r>
              <w:t xml:space="preserve"> (Lincoln)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540DF3" w14:textId="77777777" w:rsidR="00340CDA" w:rsidRPr="00C10962" w:rsidRDefault="00340CDA" w:rsidP="00816ED3">
            <w:pPr>
              <w:spacing w:line="480" w:lineRule="auto"/>
              <w:jc w:val="center"/>
              <w:rPr>
                <w:color w:val="000000"/>
              </w:rPr>
            </w:pPr>
            <w:r w:rsidRPr="00C10962">
              <w:rPr>
                <w:color w:val="000000"/>
              </w:rPr>
              <w:t>85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4A7DD20" w14:textId="77777777" w:rsidR="00340CDA" w:rsidRPr="00C10962" w:rsidRDefault="00340CDA" w:rsidP="00816ED3">
            <w:pPr>
              <w:spacing w:line="480" w:lineRule="auto"/>
              <w:jc w:val="center"/>
              <w:rPr>
                <w:color w:val="000000"/>
              </w:rPr>
            </w:pPr>
            <w:r w:rsidRPr="00C10962">
              <w:rPr>
                <w:color w:val="000000"/>
              </w:rPr>
              <w:t>99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6DADC4B" w14:textId="77777777" w:rsidR="00340CDA" w:rsidRPr="00C10962" w:rsidRDefault="00340CDA" w:rsidP="00816ED3">
            <w:pPr>
              <w:spacing w:line="480" w:lineRule="auto"/>
              <w:jc w:val="center"/>
              <w:rPr>
                <w:color w:val="000000"/>
              </w:rPr>
            </w:pPr>
            <w:r w:rsidRPr="00C10962">
              <w:rPr>
                <w:color w:val="000000"/>
              </w:rPr>
              <w:t>96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420C44" w14:textId="77777777" w:rsidR="00340CDA" w:rsidRPr="00C10962" w:rsidRDefault="00340CDA" w:rsidP="00816ED3">
            <w:pPr>
              <w:spacing w:line="480" w:lineRule="auto"/>
              <w:jc w:val="center"/>
              <w:rPr>
                <w:color w:val="000000"/>
              </w:rPr>
            </w:pPr>
            <w:r w:rsidRPr="00C10962">
              <w:rPr>
                <w:color w:val="000000"/>
              </w:rPr>
              <w:t>104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DD54C8" w14:textId="77777777" w:rsidR="00340CDA" w:rsidRPr="00C10962" w:rsidRDefault="00340CDA" w:rsidP="00816ED3">
            <w:pPr>
              <w:spacing w:line="480" w:lineRule="auto"/>
              <w:jc w:val="center"/>
              <w:rPr>
                <w:color w:val="000000"/>
              </w:rPr>
            </w:pPr>
            <w:r w:rsidRPr="00C10962">
              <w:rPr>
                <w:color w:val="000000"/>
              </w:rPr>
              <w:t>97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30A72D1" w14:textId="77777777" w:rsidR="00340CDA" w:rsidRPr="00C10962" w:rsidRDefault="00340CDA" w:rsidP="00816ED3">
            <w:pPr>
              <w:spacing w:line="480" w:lineRule="auto"/>
              <w:jc w:val="center"/>
              <w:rPr>
                <w:color w:val="000000"/>
              </w:rPr>
            </w:pPr>
            <w:r w:rsidRPr="00C10962">
              <w:rPr>
                <w:color w:val="000000"/>
              </w:rPr>
              <w:t>103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2E3A6FF" w14:textId="77777777" w:rsidR="00340CDA" w:rsidRPr="00C10962" w:rsidRDefault="00340CDA" w:rsidP="00816ED3">
            <w:pPr>
              <w:spacing w:line="480" w:lineRule="auto"/>
              <w:jc w:val="center"/>
              <w:rPr>
                <w:color w:val="000000"/>
              </w:rPr>
            </w:pPr>
            <w:r w:rsidRPr="00C10962">
              <w:rPr>
                <w:color w:val="000000"/>
              </w:rPr>
              <w:t>112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28A7422" w14:textId="77777777" w:rsidR="00340CDA" w:rsidRPr="00C10962" w:rsidRDefault="00340CDA" w:rsidP="00816ED3">
            <w:pPr>
              <w:spacing w:line="480" w:lineRule="auto"/>
              <w:jc w:val="center"/>
              <w:rPr>
                <w:color w:val="000000"/>
              </w:rPr>
            </w:pPr>
            <w:r w:rsidRPr="00C10962">
              <w:rPr>
                <w:color w:val="000000"/>
              </w:rPr>
              <w:t>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95FA9F" w14:textId="77777777" w:rsidR="00340CDA" w:rsidRPr="00C10962" w:rsidRDefault="00340CDA" w:rsidP="00816ED3">
            <w:pPr>
              <w:spacing w:line="480" w:lineRule="auto"/>
              <w:jc w:val="center"/>
              <w:rPr>
                <w:color w:val="000000"/>
              </w:rPr>
            </w:pPr>
            <w:r w:rsidRPr="00C10962">
              <w:rPr>
                <w:color w:val="000000"/>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8BC5711" w14:textId="77777777" w:rsidR="00340CDA" w:rsidRPr="00C10962" w:rsidRDefault="00340CDA" w:rsidP="00816ED3">
            <w:pPr>
              <w:spacing w:line="480" w:lineRule="auto"/>
              <w:jc w:val="center"/>
              <w:rPr>
                <w:color w:val="000000"/>
              </w:rPr>
            </w:pPr>
            <w:r w:rsidRPr="00C10962">
              <w:rPr>
                <w:color w:val="000000"/>
              </w:rPr>
              <w:t>73</w:t>
            </w:r>
          </w:p>
        </w:tc>
      </w:tr>
      <w:tr w:rsidR="00340CDA" w14:paraId="13F363BC" w14:textId="77777777" w:rsidTr="00816ED3">
        <w:tc>
          <w:tcPr>
            <w:tcW w:w="5215" w:type="dxa"/>
            <w:tcBorders>
              <w:top w:val="single" w:sz="4" w:space="0" w:color="auto"/>
              <w:bottom w:val="single" w:sz="4" w:space="0" w:color="auto"/>
              <w:right w:val="single" w:sz="4" w:space="0" w:color="auto"/>
            </w:tcBorders>
          </w:tcPr>
          <w:p w14:paraId="5A94203C" w14:textId="77777777" w:rsidR="00340CDA" w:rsidRPr="00F96E00" w:rsidRDefault="00340CDA" w:rsidP="00816ED3">
            <w:pPr>
              <w:spacing w:line="480" w:lineRule="auto"/>
            </w:pPr>
            <w:r w:rsidRPr="00AF3DE1">
              <w:t>Everett</w:t>
            </w:r>
            <w:r>
              <w:t xml:space="preserve"> (Lincoln)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A58857" w14:textId="77777777" w:rsidR="00340CDA" w:rsidRPr="00C10962" w:rsidRDefault="00340CDA" w:rsidP="00816ED3">
            <w:pPr>
              <w:spacing w:line="480" w:lineRule="auto"/>
              <w:jc w:val="center"/>
              <w:rPr>
                <w:color w:val="000000"/>
              </w:rPr>
            </w:pPr>
            <w:r w:rsidRPr="00C10962">
              <w:rPr>
                <w:color w:val="000000"/>
              </w:rPr>
              <w:t>101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C6C7D0D" w14:textId="77777777" w:rsidR="00340CDA" w:rsidRPr="00C10962" w:rsidRDefault="00340CDA" w:rsidP="00816ED3">
            <w:pPr>
              <w:spacing w:line="480" w:lineRule="auto"/>
              <w:jc w:val="center"/>
              <w:rPr>
                <w:color w:val="000000"/>
              </w:rPr>
            </w:pPr>
            <w:r w:rsidRPr="00C10962">
              <w:rPr>
                <w:color w:val="000000"/>
              </w:rPr>
              <w:t>97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906108C" w14:textId="77777777" w:rsidR="00340CDA" w:rsidRPr="00C10962" w:rsidRDefault="00340CDA" w:rsidP="00816ED3">
            <w:pPr>
              <w:spacing w:line="480" w:lineRule="auto"/>
              <w:jc w:val="center"/>
              <w:rPr>
                <w:color w:val="000000"/>
              </w:rPr>
            </w:pPr>
            <w:r w:rsidRPr="00C10962">
              <w:rPr>
                <w:color w:val="000000"/>
              </w:rPr>
              <w:t>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8B5A6DF" w14:textId="77777777" w:rsidR="00340CDA" w:rsidRPr="00C10962" w:rsidRDefault="00340CDA" w:rsidP="00816ED3">
            <w:pPr>
              <w:spacing w:line="480" w:lineRule="auto"/>
              <w:jc w:val="center"/>
              <w:rPr>
                <w:color w:val="000000"/>
              </w:rPr>
            </w:pPr>
            <w:r w:rsidRPr="00C10962">
              <w:rPr>
                <w:color w:val="000000"/>
              </w:rPr>
              <w:t>99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BCF94F3" w14:textId="77777777" w:rsidR="00340CDA" w:rsidRPr="00C10962" w:rsidRDefault="00340CDA" w:rsidP="00816ED3">
            <w:pPr>
              <w:spacing w:line="480" w:lineRule="auto"/>
              <w:jc w:val="center"/>
              <w:rPr>
                <w:color w:val="000000"/>
              </w:rPr>
            </w:pPr>
            <w:r w:rsidRPr="00C10962">
              <w:rPr>
                <w:color w:val="000000"/>
              </w:rPr>
              <w:t>103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592033F" w14:textId="77777777" w:rsidR="00340CDA" w:rsidRPr="00C10962" w:rsidRDefault="00340CDA" w:rsidP="00816ED3">
            <w:pPr>
              <w:spacing w:line="480" w:lineRule="auto"/>
              <w:jc w:val="center"/>
              <w:rPr>
                <w:color w:val="000000"/>
              </w:rPr>
            </w:pPr>
            <w:r w:rsidRPr="00C10962">
              <w:rPr>
                <w:color w:val="000000"/>
              </w:rPr>
              <w:t>107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D9360FA" w14:textId="77777777" w:rsidR="00340CDA" w:rsidRPr="00C10962" w:rsidRDefault="00340CDA" w:rsidP="00816ED3">
            <w:pPr>
              <w:spacing w:line="480" w:lineRule="auto"/>
              <w:jc w:val="center"/>
              <w:rPr>
                <w:color w:val="000000"/>
              </w:rPr>
            </w:pPr>
            <w:r w:rsidRPr="00C10962">
              <w:rPr>
                <w:color w:val="000000"/>
              </w:rPr>
              <w:t>114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9FC2F88" w14:textId="77777777" w:rsidR="00340CDA" w:rsidRPr="00C10962" w:rsidRDefault="00340CDA" w:rsidP="00816ED3">
            <w:pPr>
              <w:spacing w:line="480" w:lineRule="auto"/>
              <w:jc w:val="center"/>
              <w:rPr>
                <w:color w:val="000000"/>
              </w:rPr>
            </w:pPr>
            <w:r w:rsidRPr="00C10962">
              <w:rPr>
                <w:color w:val="000000"/>
              </w:rPr>
              <w:t>93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AB87701" w14:textId="77777777" w:rsidR="00340CDA" w:rsidRPr="00C10962" w:rsidRDefault="00340CDA" w:rsidP="00816ED3">
            <w:pPr>
              <w:spacing w:line="480" w:lineRule="auto"/>
              <w:jc w:val="center"/>
              <w:rPr>
                <w:color w:val="000000"/>
              </w:rPr>
            </w:pPr>
            <w:r w:rsidRPr="00C10962">
              <w:rPr>
                <w:color w:val="000000"/>
              </w:rPr>
              <w:t>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BA5247" w14:textId="77777777" w:rsidR="00340CDA" w:rsidRPr="00C10962" w:rsidRDefault="00340CDA" w:rsidP="00816ED3">
            <w:pPr>
              <w:spacing w:line="480" w:lineRule="auto"/>
              <w:jc w:val="center"/>
              <w:rPr>
                <w:color w:val="000000"/>
              </w:rPr>
            </w:pPr>
            <w:r w:rsidRPr="00C10962">
              <w:rPr>
                <w:color w:val="000000"/>
              </w:rPr>
              <w:t>79</w:t>
            </w:r>
          </w:p>
        </w:tc>
      </w:tr>
      <w:tr w:rsidR="00340CDA" w14:paraId="350729B7" w14:textId="77777777" w:rsidTr="00816ED3">
        <w:tc>
          <w:tcPr>
            <w:tcW w:w="5215" w:type="dxa"/>
            <w:tcBorders>
              <w:top w:val="single" w:sz="4" w:space="0" w:color="auto"/>
              <w:bottom w:val="single" w:sz="4" w:space="0" w:color="auto"/>
              <w:right w:val="single" w:sz="4" w:space="0" w:color="auto"/>
            </w:tcBorders>
          </w:tcPr>
          <w:p w14:paraId="7B45D32C" w14:textId="77777777" w:rsidR="00340CDA" w:rsidRPr="00F96E00" w:rsidRDefault="00340CDA" w:rsidP="00816ED3">
            <w:pPr>
              <w:spacing w:line="480" w:lineRule="auto"/>
            </w:pPr>
            <w:r w:rsidRPr="001D71E4">
              <w:t>Howard (Grand Island)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0C341CF" w14:textId="77777777" w:rsidR="00340CDA" w:rsidRPr="00C10962" w:rsidRDefault="00340CDA" w:rsidP="00816ED3">
            <w:pPr>
              <w:spacing w:line="480" w:lineRule="auto"/>
              <w:jc w:val="center"/>
              <w:rPr>
                <w:color w:val="000000"/>
              </w:rPr>
            </w:pPr>
            <w:r w:rsidRPr="00C10962">
              <w:rPr>
                <w:color w:val="000000"/>
              </w:rPr>
              <w:t>7</w:t>
            </w:r>
            <w:r>
              <w:rPr>
                <w:color w:val="000000"/>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DC081BC" w14:textId="77777777" w:rsidR="00340CDA" w:rsidRPr="00C10962" w:rsidRDefault="00340CDA" w:rsidP="00816ED3">
            <w:pPr>
              <w:spacing w:line="480" w:lineRule="auto"/>
              <w:jc w:val="center"/>
              <w:rPr>
                <w:color w:val="000000"/>
              </w:rPr>
            </w:pPr>
            <w:r w:rsidRPr="00C10962">
              <w:rPr>
                <w:color w:val="000000"/>
              </w:rPr>
              <w:t>8</w:t>
            </w:r>
            <w:r>
              <w:rPr>
                <w:color w:val="000000"/>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D3DD379" w14:textId="77777777" w:rsidR="00340CDA" w:rsidRPr="00C10962" w:rsidRDefault="00340CDA" w:rsidP="00816ED3">
            <w:pPr>
              <w:spacing w:line="480" w:lineRule="auto"/>
              <w:jc w:val="center"/>
              <w:rPr>
                <w:color w:val="000000"/>
              </w:rPr>
            </w:pPr>
            <w:r w:rsidRPr="00C10962">
              <w:rPr>
                <w:color w:val="000000"/>
              </w:rPr>
              <w:t>8</w:t>
            </w:r>
            <w:r>
              <w:rPr>
                <w:color w:val="000000"/>
              </w:rPr>
              <w:t>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7E6C26A" w14:textId="77777777" w:rsidR="00340CDA" w:rsidRPr="00C10962" w:rsidRDefault="00340CDA" w:rsidP="00816ED3">
            <w:pPr>
              <w:spacing w:line="480" w:lineRule="auto"/>
              <w:jc w:val="center"/>
              <w:rPr>
                <w:color w:val="000000"/>
              </w:rPr>
            </w:pPr>
            <w:r w:rsidRPr="00C10962">
              <w:rPr>
                <w:color w:val="000000"/>
              </w:rPr>
              <w:t>9</w:t>
            </w:r>
            <w:r>
              <w:rPr>
                <w:color w:val="000000"/>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ABD4747" w14:textId="77777777" w:rsidR="00340CDA" w:rsidRPr="00C10962" w:rsidRDefault="00340CDA" w:rsidP="00816ED3">
            <w:pPr>
              <w:spacing w:line="480" w:lineRule="auto"/>
              <w:jc w:val="center"/>
              <w:rPr>
                <w:color w:val="000000"/>
              </w:rPr>
            </w:pPr>
            <w:r w:rsidRPr="00C10962">
              <w:rPr>
                <w:color w:val="000000"/>
              </w:rPr>
              <w:t>107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A6468C7" w14:textId="77777777" w:rsidR="00340CDA" w:rsidRPr="00C10962" w:rsidRDefault="00340CDA" w:rsidP="00816ED3">
            <w:pPr>
              <w:spacing w:line="480" w:lineRule="auto"/>
              <w:jc w:val="center"/>
              <w:rPr>
                <w:color w:val="000000"/>
              </w:rPr>
            </w:pPr>
            <w:r w:rsidRPr="00C10962">
              <w:rPr>
                <w:color w:val="000000"/>
              </w:rPr>
              <w:t>107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914690C" w14:textId="77777777" w:rsidR="00340CDA" w:rsidRPr="00C10962" w:rsidRDefault="00340CDA" w:rsidP="00816ED3">
            <w:pPr>
              <w:spacing w:line="480" w:lineRule="auto"/>
              <w:jc w:val="center"/>
              <w:rPr>
                <w:color w:val="000000"/>
              </w:rPr>
            </w:pPr>
            <w:r>
              <w:rPr>
                <w:color w:val="000000"/>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F0EA129" w14:textId="77777777" w:rsidR="00340CDA" w:rsidRPr="00C10962" w:rsidRDefault="00340CDA" w:rsidP="00816ED3">
            <w:pPr>
              <w:spacing w:line="480" w:lineRule="auto"/>
              <w:jc w:val="center"/>
              <w:rPr>
                <w:color w:val="000000"/>
              </w:rPr>
            </w:pPr>
            <w:r w:rsidRPr="00C10962">
              <w:rPr>
                <w:color w:val="000000"/>
              </w:rPr>
              <w:t>79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F499DC1" w14:textId="77777777" w:rsidR="00340CDA" w:rsidRPr="00C10962" w:rsidRDefault="00340CDA" w:rsidP="00816ED3">
            <w:pPr>
              <w:spacing w:line="480" w:lineRule="auto"/>
              <w:jc w:val="center"/>
              <w:rPr>
                <w:color w:val="000000"/>
              </w:rPr>
            </w:pPr>
            <w:r w:rsidRPr="00C10962">
              <w:rPr>
                <w:color w:val="000000"/>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635B254" w14:textId="77777777" w:rsidR="00340CDA" w:rsidRPr="00C10962" w:rsidRDefault="00340CDA" w:rsidP="00816ED3">
            <w:pPr>
              <w:spacing w:line="480" w:lineRule="auto"/>
              <w:jc w:val="center"/>
              <w:rPr>
                <w:color w:val="000000"/>
              </w:rPr>
            </w:pPr>
            <w:r w:rsidRPr="00C10962">
              <w:rPr>
                <w:color w:val="000000"/>
              </w:rPr>
              <w:t>77</w:t>
            </w:r>
          </w:p>
        </w:tc>
      </w:tr>
      <w:tr w:rsidR="00340CDA" w14:paraId="12B65AC3" w14:textId="77777777" w:rsidTr="00816ED3">
        <w:tc>
          <w:tcPr>
            <w:tcW w:w="5215" w:type="dxa"/>
            <w:tcBorders>
              <w:top w:val="single" w:sz="4" w:space="0" w:color="auto"/>
              <w:bottom w:val="single" w:sz="4" w:space="0" w:color="auto"/>
              <w:right w:val="single" w:sz="4" w:space="0" w:color="auto"/>
            </w:tcBorders>
          </w:tcPr>
          <w:p w14:paraId="6ED82C37" w14:textId="77777777" w:rsidR="00340CDA" w:rsidRPr="00F96E00" w:rsidRDefault="00340CDA" w:rsidP="00816ED3">
            <w:pPr>
              <w:spacing w:line="480" w:lineRule="auto"/>
            </w:pPr>
            <w:r w:rsidRPr="001D71E4">
              <w:t xml:space="preserve">Harney </w:t>
            </w:r>
            <w:r>
              <w:t>(</w:t>
            </w:r>
            <w:r w:rsidRPr="001D71E4">
              <w:t>So</w:t>
            </w:r>
            <w:r>
              <w:t>uth</w:t>
            </w:r>
            <w:r w:rsidRPr="001D71E4">
              <w:t xml:space="preserve"> Sioux City</w:t>
            </w:r>
            <w: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62538E8" w14:textId="77777777" w:rsidR="00340CDA" w:rsidRPr="00E938ED" w:rsidRDefault="00340CDA" w:rsidP="00816ED3">
            <w:pPr>
              <w:spacing w:line="480" w:lineRule="auto"/>
              <w:jc w:val="center"/>
              <w:rPr>
                <w:color w:val="000000"/>
              </w:rPr>
            </w:pPr>
            <w:r w:rsidRPr="00E938ED">
              <w:rPr>
                <w:color w:val="000000"/>
              </w:rPr>
              <w:t>77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D051119" w14:textId="77777777" w:rsidR="00340CDA" w:rsidRPr="00E938ED" w:rsidRDefault="00340CDA" w:rsidP="00816ED3">
            <w:pPr>
              <w:spacing w:line="480" w:lineRule="auto"/>
              <w:jc w:val="center"/>
              <w:rPr>
                <w:color w:val="000000"/>
              </w:rPr>
            </w:pPr>
            <w:r w:rsidRPr="00E938ED">
              <w:rPr>
                <w:color w:val="000000"/>
              </w:rPr>
              <w:t>8</w:t>
            </w:r>
            <w:r>
              <w:rPr>
                <w:color w:val="000000"/>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66DA674" w14:textId="77777777" w:rsidR="00340CDA" w:rsidRPr="00E938ED" w:rsidRDefault="00340CDA" w:rsidP="00816ED3">
            <w:pPr>
              <w:spacing w:line="480" w:lineRule="auto"/>
              <w:jc w:val="center"/>
              <w:rPr>
                <w:color w:val="000000"/>
              </w:rPr>
            </w:pPr>
            <w:r w:rsidRPr="00E938ED">
              <w:rPr>
                <w:color w:val="000000"/>
              </w:rPr>
              <w:t>99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79776BA" w14:textId="77777777" w:rsidR="00340CDA" w:rsidRPr="00E938ED" w:rsidRDefault="00340CDA" w:rsidP="00816ED3">
            <w:pPr>
              <w:spacing w:line="480" w:lineRule="auto"/>
              <w:jc w:val="center"/>
              <w:rPr>
                <w:color w:val="000000"/>
              </w:rPr>
            </w:pPr>
            <w:r w:rsidRPr="00E938ED">
              <w:rPr>
                <w:color w:val="000000"/>
              </w:rPr>
              <w:t>98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8B27517" w14:textId="77777777" w:rsidR="00340CDA" w:rsidRPr="00E938ED" w:rsidRDefault="00340CDA" w:rsidP="00816ED3">
            <w:pPr>
              <w:spacing w:line="480" w:lineRule="auto"/>
              <w:jc w:val="center"/>
              <w:rPr>
                <w:color w:val="000000"/>
              </w:rPr>
            </w:pPr>
            <w:r w:rsidRPr="00E938ED">
              <w:rPr>
                <w:color w:val="000000"/>
              </w:rPr>
              <w:t>105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142E40C" w14:textId="77777777" w:rsidR="00340CDA" w:rsidRPr="00E938ED" w:rsidRDefault="00340CDA" w:rsidP="00816ED3">
            <w:pPr>
              <w:spacing w:line="480" w:lineRule="auto"/>
              <w:jc w:val="center"/>
              <w:rPr>
                <w:color w:val="000000"/>
              </w:rPr>
            </w:pPr>
            <w:r w:rsidRPr="00E938ED">
              <w:rPr>
                <w:color w:val="000000"/>
              </w:rPr>
              <w:t>111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E338165" w14:textId="77777777" w:rsidR="00340CDA" w:rsidRPr="00E938ED" w:rsidRDefault="00340CDA" w:rsidP="00816ED3">
            <w:pPr>
              <w:spacing w:line="480" w:lineRule="auto"/>
              <w:jc w:val="center"/>
              <w:rPr>
                <w:color w:val="000000"/>
              </w:rPr>
            </w:pPr>
            <w:r w:rsidRPr="00E938ED">
              <w:rPr>
                <w:color w:val="000000"/>
              </w:rPr>
              <w:t>113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8F7BBC8" w14:textId="77777777" w:rsidR="00340CDA" w:rsidRPr="00E938ED" w:rsidRDefault="00340CDA" w:rsidP="00816ED3">
            <w:pPr>
              <w:spacing w:line="480" w:lineRule="auto"/>
              <w:jc w:val="center"/>
              <w:rPr>
                <w:color w:val="000000"/>
              </w:rPr>
            </w:pPr>
            <w:r w:rsidRPr="00E938ED">
              <w:rPr>
                <w:color w:val="000000"/>
              </w:rPr>
              <w:t>92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2EBDB6D" w14:textId="77777777" w:rsidR="00340CDA" w:rsidRPr="00E938ED" w:rsidRDefault="00340CDA" w:rsidP="00816ED3">
            <w:pPr>
              <w:spacing w:line="480" w:lineRule="auto"/>
              <w:jc w:val="center"/>
              <w:rPr>
                <w:color w:val="000000"/>
              </w:rPr>
            </w:pPr>
            <w:r w:rsidRPr="00E938ED">
              <w:rPr>
                <w:color w:val="000000"/>
              </w:rPr>
              <w:t>7</w:t>
            </w:r>
            <w:r>
              <w:rPr>
                <w:color w:val="000000"/>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D4D8A10" w14:textId="77777777" w:rsidR="00340CDA" w:rsidRPr="00E938ED" w:rsidRDefault="00340CDA" w:rsidP="00816ED3">
            <w:pPr>
              <w:spacing w:line="480" w:lineRule="auto"/>
              <w:jc w:val="center"/>
              <w:rPr>
                <w:color w:val="000000"/>
              </w:rPr>
            </w:pPr>
            <w:r w:rsidRPr="00E938ED">
              <w:rPr>
                <w:color w:val="000000"/>
              </w:rPr>
              <w:t>83</w:t>
            </w:r>
          </w:p>
        </w:tc>
      </w:tr>
      <w:tr w:rsidR="00340CDA" w14:paraId="1F890FE9" w14:textId="77777777" w:rsidTr="00816ED3">
        <w:tc>
          <w:tcPr>
            <w:tcW w:w="5215" w:type="dxa"/>
            <w:tcBorders>
              <w:top w:val="single" w:sz="4" w:space="0" w:color="auto"/>
              <w:bottom w:val="single" w:sz="4" w:space="0" w:color="auto"/>
              <w:right w:val="single" w:sz="4" w:space="0" w:color="auto"/>
            </w:tcBorders>
          </w:tcPr>
          <w:p w14:paraId="78C4B83D" w14:textId="77777777" w:rsidR="00340CDA" w:rsidRPr="00F96E00" w:rsidRDefault="00340CDA" w:rsidP="00816ED3">
            <w:pPr>
              <w:spacing w:line="480" w:lineRule="auto"/>
            </w:pPr>
            <w:r w:rsidRPr="001D71E4">
              <w:t xml:space="preserve">Washington </w:t>
            </w:r>
            <w:r>
              <w:t>(</w:t>
            </w:r>
            <w:r w:rsidRPr="001D71E4">
              <w:t>Fremont</w:t>
            </w:r>
            <w: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DDCEE5A" w14:textId="77777777" w:rsidR="00340CDA" w:rsidRPr="00E938ED" w:rsidRDefault="00340CDA" w:rsidP="00816ED3">
            <w:pPr>
              <w:spacing w:line="480" w:lineRule="auto"/>
              <w:jc w:val="center"/>
              <w:rPr>
                <w:color w:val="000000"/>
              </w:rPr>
            </w:pPr>
            <w:r>
              <w:rPr>
                <w:color w:val="000000"/>
              </w:rPr>
              <w:t>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FB0C5A5" w14:textId="77777777" w:rsidR="00340CDA" w:rsidRPr="00E938ED" w:rsidRDefault="00340CDA" w:rsidP="00816ED3">
            <w:pPr>
              <w:spacing w:line="480" w:lineRule="auto"/>
              <w:jc w:val="center"/>
              <w:rPr>
                <w:color w:val="000000"/>
              </w:rPr>
            </w:pPr>
            <w:r w:rsidRPr="00E938ED">
              <w:rPr>
                <w:color w:val="000000"/>
              </w:rPr>
              <w:t>82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B9B0158" w14:textId="77777777" w:rsidR="00340CDA" w:rsidRPr="00E938ED" w:rsidRDefault="00340CDA" w:rsidP="00816ED3">
            <w:pPr>
              <w:spacing w:line="480" w:lineRule="auto"/>
              <w:jc w:val="center"/>
              <w:rPr>
                <w:color w:val="000000"/>
              </w:rPr>
            </w:pPr>
            <w:r w:rsidRPr="00E938ED">
              <w:rPr>
                <w:color w:val="000000"/>
              </w:rPr>
              <w:t>9</w:t>
            </w:r>
            <w:r>
              <w:rPr>
                <w:color w:val="00000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8F3B80" w14:textId="77777777" w:rsidR="00340CDA" w:rsidRPr="00E938ED" w:rsidRDefault="00340CDA" w:rsidP="00816ED3">
            <w:pPr>
              <w:spacing w:line="480" w:lineRule="auto"/>
              <w:jc w:val="center"/>
              <w:rPr>
                <w:color w:val="000000"/>
              </w:rPr>
            </w:pPr>
            <w:r w:rsidRPr="00E938ED">
              <w:rPr>
                <w:color w:val="000000"/>
              </w:rPr>
              <w:t>8</w:t>
            </w:r>
            <w:r>
              <w:rPr>
                <w:color w:val="00000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5EA6FA0" w14:textId="77777777" w:rsidR="00340CDA" w:rsidRPr="00E938ED" w:rsidRDefault="00340CDA" w:rsidP="00816ED3">
            <w:pPr>
              <w:spacing w:line="480" w:lineRule="auto"/>
              <w:jc w:val="center"/>
              <w:rPr>
                <w:color w:val="000000"/>
              </w:rPr>
            </w:pPr>
            <w:r w:rsidRPr="00E938ED">
              <w:rPr>
                <w:color w:val="000000"/>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DC90399" w14:textId="77777777" w:rsidR="00340CDA" w:rsidRPr="00E938ED" w:rsidRDefault="00340CDA" w:rsidP="00816ED3">
            <w:pPr>
              <w:spacing w:line="480" w:lineRule="auto"/>
              <w:jc w:val="center"/>
              <w:rPr>
                <w:color w:val="000000"/>
              </w:rPr>
            </w:pPr>
            <w:r w:rsidRPr="00E938ED">
              <w:rPr>
                <w:color w:val="000000"/>
              </w:rPr>
              <w:t>88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39BE073" w14:textId="77777777" w:rsidR="00340CDA" w:rsidRPr="00E938ED" w:rsidRDefault="00340CDA" w:rsidP="00816ED3">
            <w:pPr>
              <w:spacing w:line="480" w:lineRule="auto"/>
              <w:jc w:val="center"/>
              <w:rPr>
                <w:color w:val="000000"/>
              </w:rPr>
            </w:pPr>
            <w:r w:rsidRPr="00E938ED">
              <w:rPr>
                <w:color w:val="000000"/>
              </w:rPr>
              <w:t>89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DFE436B" w14:textId="77777777" w:rsidR="00340CDA" w:rsidRPr="00E938ED" w:rsidRDefault="00340CDA" w:rsidP="00816ED3">
            <w:pPr>
              <w:spacing w:line="480" w:lineRule="auto"/>
              <w:jc w:val="center"/>
              <w:rPr>
                <w:color w:val="000000"/>
              </w:rPr>
            </w:pPr>
            <w:r w:rsidRPr="00E938ED">
              <w:rPr>
                <w:color w:val="000000"/>
              </w:rPr>
              <w:t>8</w:t>
            </w:r>
            <w:r>
              <w:rPr>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6D16B7" w14:textId="77777777" w:rsidR="00340CDA" w:rsidRPr="00E938ED" w:rsidRDefault="00340CDA" w:rsidP="00816ED3">
            <w:pPr>
              <w:spacing w:line="480" w:lineRule="auto"/>
              <w:jc w:val="center"/>
              <w:rPr>
                <w:color w:val="000000"/>
              </w:rPr>
            </w:pPr>
            <w:r w:rsidRPr="00E938ED">
              <w:rPr>
                <w:color w:val="000000"/>
              </w:rPr>
              <w:t>6</w:t>
            </w:r>
            <w:r>
              <w:rPr>
                <w:color w:val="000000"/>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A0D692F" w14:textId="77777777" w:rsidR="00340CDA" w:rsidRPr="00E938ED" w:rsidRDefault="00340CDA" w:rsidP="00816ED3">
            <w:pPr>
              <w:spacing w:line="480" w:lineRule="auto"/>
              <w:jc w:val="center"/>
              <w:rPr>
                <w:color w:val="000000"/>
              </w:rPr>
            </w:pPr>
            <w:r w:rsidRPr="00E938ED">
              <w:rPr>
                <w:color w:val="000000"/>
              </w:rPr>
              <w:t>6</w:t>
            </w:r>
            <w:r>
              <w:rPr>
                <w:color w:val="000000"/>
              </w:rPr>
              <w:t>2</w:t>
            </w:r>
          </w:p>
        </w:tc>
      </w:tr>
    </w:tbl>
    <w:p w14:paraId="68341D55" w14:textId="77777777" w:rsidR="00340CDA" w:rsidRDefault="00340CDA" w:rsidP="00340CDA"/>
    <w:p w14:paraId="32562EDB" w14:textId="77777777" w:rsidR="00340CDA" w:rsidRDefault="00340CDA" w:rsidP="00340CDA"/>
    <w:p w14:paraId="3FA9AA4B" w14:textId="20ECBC34" w:rsidR="00BE416E" w:rsidRDefault="00BE416E">
      <w:r>
        <w:br w:type="page"/>
      </w:r>
    </w:p>
    <w:p w14:paraId="00AB2FC0" w14:textId="73AFDDF7" w:rsidR="00BE416E" w:rsidRDefault="00BE416E" w:rsidP="00BE416E">
      <w:r>
        <w:lastRenderedPageBreak/>
        <w:t>Table 10. Example of a Low FRL, No SIG elementary school in Nebraska.</w:t>
      </w:r>
    </w:p>
    <w:p w14:paraId="42537A78" w14:textId="77777777" w:rsidR="00BE416E" w:rsidRDefault="00BE416E" w:rsidP="00BE416E"/>
    <w:p w14:paraId="178E1D65" w14:textId="77777777" w:rsidR="00BE416E" w:rsidRDefault="00BE416E" w:rsidP="00BE416E"/>
    <w:tbl>
      <w:tblPr>
        <w:tblStyle w:val="TableGrid"/>
        <w:tblW w:w="0" w:type="auto"/>
        <w:tblLook w:val="04A0" w:firstRow="1" w:lastRow="0" w:firstColumn="1" w:lastColumn="0" w:noHBand="0" w:noVBand="1"/>
      </w:tblPr>
      <w:tblGrid>
        <w:gridCol w:w="2184"/>
        <w:gridCol w:w="943"/>
        <w:gridCol w:w="1110"/>
        <w:gridCol w:w="888"/>
        <w:gridCol w:w="1260"/>
        <w:gridCol w:w="1170"/>
        <w:gridCol w:w="1260"/>
      </w:tblGrid>
      <w:tr w:rsidR="00BE416E" w14:paraId="720C498E" w14:textId="77777777" w:rsidTr="00787F52">
        <w:tc>
          <w:tcPr>
            <w:tcW w:w="2184" w:type="dxa"/>
          </w:tcPr>
          <w:p w14:paraId="420A7BCA" w14:textId="77777777" w:rsidR="00BE416E" w:rsidRPr="00F96E00" w:rsidRDefault="00BE416E" w:rsidP="00787F52">
            <w:pPr>
              <w:spacing w:line="480" w:lineRule="auto"/>
            </w:pPr>
          </w:p>
        </w:tc>
        <w:tc>
          <w:tcPr>
            <w:tcW w:w="943" w:type="dxa"/>
          </w:tcPr>
          <w:p w14:paraId="273BD4E4" w14:textId="77777777" w:rsidR="00BE416E" w:rsidRPr="00F96E00" w:rsidRDefault="00BE416E" w:rsidP="00787F52">
            <w:pPr>
              <w:spacing w:line="480" w:lineRule="auto"/>
              <w:jc w:val="center"/>
              <w:rPr>
                <w:b/>
                <w:bCs/>
              </w:rPr>
            </w:pPr>
            <w:r w:rsidRPr="00F96E00">
              <w:rPr>
                <w:b/>
                <w:bCs/>
              </w:rPr>
              <w:t>FRL</w:t>
            </w:r>
            <w:r w:rsidRPr="00F96E00">
              <w:t>*</w:t>
            </w:r>
          </w:p>
        </w:tc>
        <w:tc>
          <w:tcPr>
            <w:tcW w:w="1110" w:type="dxa"/>
          </w:tcPr>
          <w:p w14:paraId="3D6306DF" w14:textId="77777777" w:rsidR="00BE416E" w:rsidRPr="00F96E00" w:rsidRDefault="00BE416E" w:rsidP="00787F52">
            <w:pPr>
              <w:spacing w:line="480" w:lineRule="auto"/>
              <w:jc w:val="center"/>
              <w:rPr>
                <w:b/>
                <w:bCs/>
                <w:vertAlign w:val="superscript"/>
              </w:rPr>
            </w:pPr>
            <w:r w:rsidRPr="00F96E00">
              <w:rPr>
                <w:b/>
                <w:bCs/>
              </w:rPr>
              <w:t>Students</w:t>
            </w:r>
          </w:p>
        </w:tc>
        <w:tc>
          <w:tcPr>
            <w:tcW w:w="888" w:type="dxa"/>
          </w:tcPr>
          <w:p w14:paraId="1B0B5CE6" w14:textId="77777777" w:rsidR="00BE416E" w:rsidRPr="00F96E00" w:rsidRDefault="00BE416E" w:rsidP="00787F52">
            <w:pPr>
              <w:spacing w:line="480" w:lineRule="auto"/>
              <w:jc w:val="center"/>
              <w:rPr>
                <w:b/>
                <w:bCs/>
                <w:vertAlign w:val="superscript"/>
              </w:rPr>
            </w:pPr>
            <w:r w:rsidRPr="00F96E00">
              <w:rPr>
                <w:b/>
                <w:bCs/>
              </w:rPr>
              <w:t>White</w:t>
            </w:r>
          </w:p>
        </w:tc>
        <w:tc>
          <w:tcPr>
            <w:tcW w:w="1260" w:type="dxa"/>
          </w:tcPr>
          <w:p w14:paraId="1DF7ACC3" w14:textId="77777777" w:rsidR="00BE416E" w:rsidRPr="00F96E00" w:rsidRDefault="00BE416E" w:rsidP="00787F52">
            <w:pPr>
              <w:spacing w:line="480" w:lineRule="auto"/>
              <w:jc w:val="center"/>
              <w:rPr>
                <w:b/>
                <w:bCs/>
                <w:vertAlign w:val="superscript"/>
              </w:rPr>
            </w:pPr>
            <w:r w:rsidRPr="00F96E00">
              <w:rPr>
                <w:b/>
                <w:bCs/>
              </w:rPr>
              <w:t>African American</w:t>
            </w:r>
          </w:p>
        </w:tc>
        <w:tc>
          <w:tcPr>
            <w:tcW w:w="1170" w:type="dxa"/>
          </w:tcPr>
          <w:p w14:paraId="41AB7A13" w14:textId="77777777" w:rsidR="00BE416E" w:rsidRPr="00F96E00" w:rsidRDefault="00BE416E" w:rsidP="00787F52">
            <w:pPr>
              <w:spacing w:line="480" w:lineRule="auto"/>
              <w:jc w:val="center"/>
              <w:rPr>
                <w:b/>
                <w:bCs/>
                <w:vertAlign w:val="superscript"/>
              </w:rPr>
            </w:pPr>
            <w:r w:rsidRPr="00F96E00">
              <w:rPr>
                <w:b/>
                <w:bCs/>
              </w:rPr>
              <w:t>Hispanic</w:t>
            </w:r>
          </w:p>
        </w:tc>
        <w:tc>
          <w:tcPr>
            <w:tcW w:w="1260" w:type="dxa"/>
          </w:tcPr>
          <w:p w14:paraId="6A76FE72" w14:textId="77777777" w:rsidR="00BE416E" w:rsidRPr="00F96E00" w:rsidRDefault="00BE416E" w:rsidP="00787F52">
            <w:pPr>
              <w:spacing w:line="480" w:lineRule="auto"/>
              <w:jc w:val="center"/>
              <w:rPr>
                <w:b/>
                <w:bCs/>
                <w:vertAlign w:val="superscript"/>
              </w:rPr>
            </w:pPr>
            <w:r w:rsidRPr="00F96E00">
              <w:rPr>
                <w:b/>
                <w:bCs/>
              </w:rPr>
              <w:t>Native American</w:t>
            </w:r>
          </w:p>
        </w:tc>
      </w:tr>
      <w:tr w:rsidR="00BE416E" w14:paraId="7938F173" w14:textId="77777777" w:rsidTr="00787F52">
        <w:tc>
          <w:tcPr>
            <w:tcW w:w="2184" w:type="dxa"/>
          </w:tcPr>
          <w:p w14:paraId="5C6ECD3D" w14:textId="77777777" w:rsidR="00BE416E" w:rsidRPr="00BE416E" w:rsidRDefault="00BE416E" w:rsidP="00787F52">
            <w:pPr>
              <w:spacing w:line="480" w:lineRule="auto"/>
              <w:rPr>
                <w:color w:val="000000" w:themeColor="text1"/>
              </w:rPr>
            </w:pPr>
            <w:r w:rsidRPr="00BE416E">
              <w:rPr>
                <w:color w:val="000000" w:themeColor="text1"/>
              </w:rPr>
              <w:t>Fire Ridge (Elkhorn)</w:t>
            </w:r>
          </w:p>
        </w:tc>
        <w:tc>
          <w:tcPr>
            <w:tcW w:w="943" w:type="dxa"/>
          </w:tcPr>
          <w:p w14:paraId="21C4725B" w14:textId="77777777" w:rsidR="00BE416E" w:rsidRPr="00BE416E" w:rsidRDefault="00BE416E" w:rsidP="00787F52">
            <w:pPr>
              <w:spacing w:line="480" w:lineRule="auto"/>
              <w:jc w:val="center"/>
              <w:rPr>
                <w:color w:val="000000" w:themeColor="text1"/>
              </w:rPr>
            </w:pPr>
            <w:r w:rsidRPr="00BE416E">
              <w:rPr>
                <w:color w:val="000000" w:themeColor="text1"/>
              </w:rPr>
              <w:t>1%</w:t>
            </w:r>
          </w:p>
        </w:tc>
        <w:tc>
          <w:tcPr>
            <w:tcW w:w="1110" w:type="dxa"/>
          </w:tcPr>
          <w:p w14:paraId="0863D4B2" w14:textId="77777777" w:rsidR="00BE416E" w:rsidRPr="00BE416E" w:rsidRDefault="00BE416E" w:rsidP="00787F52">
            <w:pPr>
              <w:spacing w:line="480" w:lineRule="auto"/>
              <w:jc w:val="center"/>
              <w:rPr>
                <w:color w:val="000000" w:themeColor="text1"/>
              </w:rPr>
            </w:pPr>
            <w:r w:rsidRPr="00BE416E">
              <w:rPr>
                <w:color w:val="000000" w:themeColor="text1"/>
              </w:rPr>
              <w:t>468</w:t>
            </w:r>
          </w:p>
        </w:tc>
        <w:tc>
          <w:tcPr>
            <w:tcW w:w="888" w:type="dxa"/>
          </w:tcPr>
          <w:p w14:paraId="78E356A6" w14:textId="77777777" w:rsidR="00BE416E" w:rsidRPr="00BE416E" w:rsidRDefault="00BE416E" w:rsidP="00787F52">
            <w:pPr>
              <w:spacing w:line="480" w:lineRule="auto"/>
              <w:jc w:val="center"/>
              <w:rPr>
                <w:color w:val="000000" w:themeColor="text1"/>
              </w:rPr>
            </w:pPr>
            <w:r w:rsidRPr="00BE416E">
              <w:rPr>
                <w:color w:val="000000" w:themeColor="text1"/>
              </w:rPr>
              <w:t>91%</w:t>
            </w:r>
          </w:p>
        </w:tc>
        <w:tc>
          <w:tcPr>
            <w:tcW w:w="1260" w:type="dxa"/>
          </w:tcPr>
          <w:p w14:paraId="44802207" w14:textId="77777777" w:rsidR="00BE416E" w:rsidRPr="00BE416E" w:rsidRDefault="00BE416E" w:rsidP="00787F52">
            <w:pPr>
              <w:spacing w:line="480" w:lineRule="auto"/>
              <w:jc w:val="center"/>
              <w:rPr>
                <w:color w:val="000000" w:themeColor="text1"/>
              </w:rPr>
            </w:pPr>
            <w:r w:rsidRPr="00BE416E">
              <w:rPr>
                <w:color w:val="000000" w:themeColor="text1"/>
              </w:rPr>
              <w:t>2%</w:t>
            </w:r>
          </w:p>
        </w:tc>
        <w:tc>
          <w:tcPr>
            <w:tcW w:w="1170" w:type="dxa"/>
          </w:tcPr>
          <w:p w14:paraId="02A64CF9" w14:textId="77777777" w:rsidR="00BE416E" w:rsidRPr="00BE416E" w:rsidRDefault="00BE416E" w:rsidP="00787F52">
            <w:pPr>
              <w:spacing w:line="480" w:lineRule="auto"/>
              <w:jc w:val="center"/>
              <w:rPr>
                <w:color w:val="000000" w:themeColor="text1"/>
              </w:rPr>
            </w:pPr>
            <w:r w:rsidRPr="00BE416E">
              <w:rPr>
                <w:color w:val="000000" w:themeColor="text1"/>
              </w:rPr>
              <w:t>4%</w:t>
            </w:r>
          </w:p>
        </w:tc>
        <w:tc>
          <w:tcPr>
            <w:tcW w:w="1260" w:type="dxa"/>
          </w:tcPr>
          <w:p w14:paraId="40E3AB8C" w14:textId="77777777" w:rsidR="00BE416E" w:rsidRPr="00BE416E" w:rsidRDefault="00BE416E" w:rsidP="00787F52">
            <w:pPr>
              <w:spacing w:line="480" w:lineRule="auto"/>
              <w:jc w:val="center"/>
              <w:rPr>
                <w:color w:val="000000" w:themeColor="text1"/>
              </w:rPr>
            </w:pPr>
            <w:r w:rsidRPr="00BE416E">
              <w:rPr>
                <w:color w:val="000000" w:themeColor="text1"/>
              </w:rPr>
              <w:t>0%</w:t>
            </w:r>
          </w:p>
        </w:tc>
      </w:tr>
    </w:tbl>
    <w:p w14:paraId="34FCCE0A" w14:textId="21DD9125" w:rsidR="00253EE2" w:rsidRDefault="00253EE2" w:rsidP="00253EE2">
      <w:pPr>
        <w:spacing w:line="480" w:lineRule="auto"/>
      </w:pPr>
    </w:p>
    <w:p w14:paraId="10039BB5" w14:textId="77777777" w:rsidR="00BE416E" w:rsidRDefault="00BE416E">
      <w:r>
        <w:br w:type="page"/>
      </w:r>
    </w:p>
    <w:p w14:paraId="004D64F1" w14:textId="3A98B925" w:rsidR="00BE416E" w:rsidRDefault="00BE416E" w:rsidP="00BE416E">
      <w:r>
        <w:lastRenderedPageBreak/>
        <w:t xml:space="preserve">Table 11. </w:t>
      </w:r>
      <w:r w:rsidRPr="002B4E17">
        <w:t xml:space="preserve">Reading and English Language Arts Scores for </w:t>
      </w:r>
      <w:r>
        <w:t xml:space="preserve">a Low FRL, No SIG </w:t>
      </w:r>
      <w:r w:rsidRPr="002B4E17">
        <w:t>Nebraska school</w:t>
      </w:r>
      <w:r>
        <w:t>.</w:t>
      </w:r>
    </w:p>
    <w:p w14:paraId="342634C3" w14:textId="77777777" w:rsidR="00BE416E" w:rsidRDefault="00BE416E" w:rsidP="00BE416E"/>
    <w:tbl>
      <w:tblPr>
        <w:tblStyle w:val="TableGrid"/>
        <w:tblW w:w="12415" w:type="dxa"/>
        <w:tblLayout w:type="fixed"/>
        <w:tblLook w:val="04A0" w:firstRow="1" w:lastRow="0" w:firstColumn="1" w:lastColumn="0" w:noHBand="0" w:noVBand="1"/>
      </w:tblPr>
      <w:tblGrid>
        <w:gridCol w:w="5215"/>
        <w:gridCol w:w="720"/>
        <w:gridCol w:w="720"/>
        <w:gridCol w:w="720"/>
        <w:gridCol w:w="720"/>
        <w:gridCol w:w="720"/>
        <w:gridCol w:w="720"/>
        <w:gridCol w:w="720"/>
        <w:gridCol w:w="720"/>
        <w:gridCol w:w="720"/>
        <w:gridCol w:w="720"/>
      </w:tblGrid>
      <w:tr w:rsidR="00BE416E" w14:paraId="46AAD8BB" w14:textId="77777777" w:rsidTr="00787F52">
        <w:tc>
          <w:tcPr>
            <w:tcW w:w="5215" w:type="dxa"/>
          </w:tcPr>
          <w:p w14:paraId="38C2F40F" w14:textId="77777777" w:rsidR="00BE416E" w:rsidRPr="00F96E00" w:rsidRDefault="00BE416E" w:rsidP="00787F52">
            <w:pPr>
              <w:spacing w:line="480" w:lineRule="auto"/>
            </w:pPr>
          </w:p>
        </w:tc>
        <w:tc>
          <w:tcPr>
            <w:tcW w:w="720" w:type="dxa"/>
          </w:tcPr>
          <w:p w14:paraId="2A19B5CC" w14:textId="77777777" w:rsidR="00BE416E" w:rsidRPr="00F96E00" w:rsidRDefault="00BE416E" w:rsidP="00787F52">
            <w:pPr>
              <w:spacing w:line="480" w:lineRule="auto"/>
              <w:jc w:val="center"/>
              <w:rPr>
                <w:b/>
                <w:bCs/>
              </w:rPr>
            </w:pPr>
            <w:r w:rsidRPr="00F96E00">
              <w:rPr>
                <w:b/>
                <w:bCs/>
              </w:rPr>
              <w:t>2010</w:t>
            </w:r>
          </w:p>
        </w:tc>
        <w:tc>
          <w:tcPr>
            <w:tcW w:w="720" w:type="dxa"/>
          </w:tcPr>
          <w:p w14:paraId="37601E7D" w14:textId="77777777" w:rsidR="00BE416E" w:rsidRPr="00F96E00" w:rsidRDefault="00BE416E" w:rsidP="00787F52">
            <w:pPr>
              <w:spacing w:line="480" w:lineRule="auto"/>
              <w:jc w:val="center"/>
              <w:rPr>
                <w:b/>
                <w:bCs/>
              </w:rPr>
            </w:pPr>
            <w:r w:rsidRPr="00F96E00">
              <w:rPr>
                <w:b/>
                <w:bCs/>
              </w:rPr>
              <w:t>2011</w:t>
            </w:r>
          </w:p>
        </w:tc>
        <w:tc>
          <w:tcPr>
            <w:tcW w:w="720" w:type="dxa"/>
          </w:tcPr>
          <w:p w14:paraId="7D7E70E8" w14:textId="77777777" w:rsidR="00BE416E" w:rsidRPr="00F96E00" w:rsidRDefault="00BE416E" w:rsidP="00787F52">
            <w:pPr>
              <w:spacing w:line="480" w:lineRule="auto"/>
              <w:jc w:val="center"/>
              <w:rPr>
                <w:b/>
                <w:bCs/>
              </w:rPr>
            </w:pPr>
            <w:r w:rsidRPr="00F96E00">
              <w:rPr>
                <w:b/>
                <w:bCs/>
              </w:rPr>
              <w:t>2012</w:t>
            </w:r>
          </w:p>
        </w:tc>
        <w:tc>
          <w:tcPr>
            <w:tcW w:w="720" w:type="dxa"/>
          </w:tcPr>
          <w:p w14:paraId="76BE69C4" w14:textId="77777777" w:rsidR="00BE416E" w:rsidRPr="00F96E00" w:rsidRDefault="00BE416E" w:rsidP="00787F52">
            <w:pPr>
              <w:spacing w:line="480" w:lineRule="auto"/>
              <w:jc w:val="center"/>
              <w:rPr>
                <w:b/>
                <w:bCs/>
              </w:rPr>
            </w:pPr>
            <w:r w:rsidRPr="00F96E00">
              <w:rPr>
                <w:b/>
                <w:bCs/>
              </w:rPr>
              <w:t>2013</w:t>
            </w:r>
          </w:p>
        </w:tc>
        <w:tc>
          <w:tcPr>
            <w:tcW w:w="720" w:type="dxa"/>
          </w:tcPr>
          <w:p w14:paraId="01EC7D37" w14:textId="77777777" w:rsidR="00BE416E" w:rsidRPr="00F96E00" w:rsidRDefault="00BE416E" w:rsidP="00787F52">
            <w:pPr>
              <w:spacing w:line="480" w:lineRule="auto"/>
              <w:jc w:val="center"/>
              <w:rPr>
                <w:b/>
                <w:bCs/>
              </w:rPr>
            </w:pPr>
            <w:r w:rsidRPr="00F96E00">
              <w:rPr>
                <w:b/>
                <w:bCs/>
              </w:rPr>
              <w:t>2014</w:t>
            </w:r>
          </w:p>
        </w:tc>
        <w:tc>
          <w:tcPr>
            <w:tcW w:w="720" w:type="dxa"/>
          </w:tcPr>
          <w:p w14:paraId="688C67F1" w14:textId="77777777" w:rsidR="00BE416E" w:rsidRPr="00F96E00" w:rsidRDefault="00BE416E" w:rsidP="00787F52">
            <w:pPr>
              <w:spacing w:line="480" w:lineRule="auto"/>
              <w:jc w:val="center"/>
              <w:rPr>
                <w:b/>
                <w:bCs/>
              </w:rPr>
            </w:pPr>
            <w:r w:rsidRPr="00F96E00">
              <w:rPr>
                <w:b/>
                <w:bCs/>
              </w:rPr>
              <w:t>2015</w:t>
            </w:r>
          </w:p>
        </w:tc>
        <w:tc>
          <w:tcPr>
            <w:tcW w:w="720" w:type="dxa"/>
          </w:tcPr>
          <w:p w14:paraId="6D7C74E6" w14:textId="77777777" w:rsidR="00BE416E" w:rsidRPr="00F96E00" w:rsidRDefault="00BE416E" w:rsidP="00787F52">
            <w:pPr>
              <w:spacing w:line="480" w:lineRule="auto"/>
              <w:jc w:val="center"/>
              <w:rPr>
                <w:b/>
                <w:bCs/>
              </w:rPr>
            </w:pPr>
            <w:r w:rsidRPr="00F96E00">
              <w:rPr>
                <w:b/>
                <w:bCs/>
              </w:rPr>
              <w:t>2016</w:t>
            </w:r>
          </w:p>
        </w:tc>
        <w:tc>
          <w:tcPr>
            <w:tcW w:w="720" w:type="dxa"/>
          </w:tcPr>
          <w:p w14:paraId="5A9D7F0F" w14:textId="77777777" w:rsidR="00BE416E" w:rsidRPr="00F96E00" w:rsidRDefault="00BE416E" w:rsidP="00787F52">
            <w:pPr>
              <w:spacing w:line="480" w:lineRule="auto"/>
              <w:jc w:val="center"/>
              <w:rPr>
                <w:b/>
                <w:bCs/>
              </w:rPr>
            </w:pPr>
            <w:r w:rsidRPr="00F96E00">
              <w:rPr>
                <w:b/>
                <w:bCs/>
              </w:rPr>
              <w:t>2017</w:t>
            </w:r>
          </w:p>
        </w:tc>
        <w:tc>
          <w:tcPr>
            <w:tcW w:w="720" w:type="dxa"/>
          </w:tcPr>
          <w:p w14:paraId="672044AE" w14:textId="77777777" w:rsidR="00BE416E" w:rsidRPr="00F96E00" w:rsidRDefault="00BE416E" w:rsidP="00787F52">
            <w:pPr>
              <w:spacing w:line="480" w:lineRule="auto"/>
              <w:jc w:val="center"/>
              <w:rPr>
                <w:b/>
                <w:bCs/>
              </w:rPr>
            </w:pPr>
            <w:r w:rsidRPr="00F96E00">
              <w:rPr>
                <w:b/>
                <w:bCs/>
              </w:rPr>
              <w:t>2018</w:t>
            </w:r>
          </w:p>
        </w:tc>
        <w:tc>
          <w:tcPr>
            <w:tcW w:w="720" w:type="dxa"/>
          </w:tcPr>
          <w:p w14:paraId="5BF7A612" w14:textId="77777777" w:rsidR="00BE416E" w:rsidRPr="00F96E00" w:rsidRDefault="00BE416E" w:rsidP="00787F52">
            <w:pPr>
              <w:spacing w:line="480" w:lineRule="auto"/>
              <w:jc w:val="center"/>
              <w:rPr>
                <w:b/>
                <w:bCs/>
              </w:rPr>
            </w:pPr>
            <w:r w:rsidRPr="00F96E00">
              <w:rPr>
                <w:b/>
                <w:bCs/>
              </w:rPr>
              <w:t>2019</w:t>
            </w:r>
          </w:p>
        </w:tc>
      </w:tr>
      <w:tr w:rsidR="00BE416E" w14:paraId="5B3BC504" w14:textId="77777777" w:rsidTr="00787F52">
        <w:tc>
          <w:tcPr>
            <w:tcW w:w="5215" w:type="dxa"/>
            <w:tcBorders>
              <w:top w:val="single" w:sz="4" w:space="0" w:color="auto"/>
              <w:bottom w:val="single" w:sz="4" w:space="0" w:color="auto"/>
              <w:right w:val="single" w:sz="4" w:space="0" w:color="auto"/>
            </w:tcBorders>
          </w:tcPr>
          <w:p w14:paraId="23494FC2" w14:textId="5A38C7FC" w:rsidR="00BE416E" w:rsidRPr="00BE416E" w:rsidRDefault="00BE416E" w:rsidP="00BE416E">
            <w:pPr>
              <w:spacing w:line="480" w:lineRule="auto"/>
              <w:rPr>
                <w:color w:val="000000" w:themeColor="text1"/>
              </w:rPr>
            </w:pPr>
            <w:r w:rsidRPr="00BE416E">
              <w:rPr>
                <w:color w:val="000000" w:themeColor="text1"/>
              </w:rPr>
              <w:t>Fire Ridge (Elkhorn)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E858670" w14:textId="3EBB5C8E" w:rsidR="00BE416E" w:rsidRPr="00BE416E" w:rsidRDefault="00BE416E" w:rsidP="00BE416E">
            <w:pPr>
              <w:spacing w:line="480" w:lineRule="auto"/>
              <w:jc w:val="center"/>
              <w:rPr>
                <w:color w:val="000000" w:themeColor="text1"/>
              </w:rPr>
            </w:pPr>
            <w:r w:rsidRPr="00BE416E">
              <w:rPr>
                <w:color w:val="000000" w:themeColor="text1"/>
              </w:rPr>
              <w:t>118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3836308" w14:textId="3CE3DDA1" w:rsidR="00BE416E" w:rsidRPr="00BE416E" w:rsidRDefault="00BE416E" w:rsidP="00BE416E">
            <w:pPr>
              <w:spacing w:line="480" w:lineRule="auto"/>
              <w:jc w:val="center"/>
              <w:rPr>
                <w:color w:val="000000" w:themeColor="text1"/>
              </w:rPr>
            </w:pPr>
            <w:r w:rsidRPr="00BE416E">
              <w:rPr>
                <w:color w:val="000000" w:themeColor="text1"/>
              </w:rPr>
              <w:t>127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7B1CC6" w14:textId="5D1B08B3" w:rsidR="00BE416E" w:rsidRPr="00BE416E" w:rsidRDefault="00BE416E" w:rsidP="00BE416E">
            <w:pPr>
              <w:spacing w:line="480" w:lineRule="auto"/>
              <w:jc w:val="center"/>
              <w:rPr>
                <w:color w:val="000000" w:themeColor="text1"/>
              </w:rPr>
            </w:pPr>
            <w:r w:rsidRPr="00BE416E">
              <w:rPr>
                <w:color w:val="000000" w:themeColor="text1"/>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80B9CF1" w14:textId="65F59B27" w:rsidR="00BE416E" w:rsidRPr="00BE416E" w:rsidRDefault="00BE416E" w:rsidP="00BE416E">
            <w:pPr>
              <w:spacing w:line="480" w:lineRule="auto"/>
              <w:jc w:val="center"/>
              <w:rPr>
                <w:color w:val="000000" w:themeColor="text1"/>
              </w:rPr>
            </w:pPr>
            <w:r w:rsidRPr="00BE416E">
              <w:rPr>
                <w:color w:val="000000" w:themeColor="text1"/>
              </w:rPr>
              <w:t>138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0908832" w14:textId="3E1EF4AD" w:rsidR="00BE416E" w:rsidRPr="00BE416E" w:rsidRDefault="00BE416E" w:rsidP="00BE416E">
            <w:pPr>
              <w:spacing w:line="480" w:lineRule="auto"/>
              <w:jc w:val="center"/>
              <w:rPr>
                <w:color w:val="000000" w:themeColor="text1"/>
              </w:rPr>
            </w:pPr>
            <w:r w:rsidRPr="00BE416E">
              <w:rPr>
                <w:color w:val="000000" w:themeColor="text1"/>
              </w:rPr>
              <w:t>142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3C593F3" w14:textId="62A31B2E" w:rsidR="00BE416E" w:rsidRPr="00BE416E" w:rsidRDefault="00BE416E" w:rsidP="00BE416E">
            <w:pPr>
              <w:spacing w:line="480" w:lineRule="auto"/>
              <w:jc w:val="center"/>
              <w:rPr>
                <w:color w:val="000000" w:themeColor="text1"/>
              </w:rPr>
            </w:pPr>
            <w:r w:rsidRPr="00BE416E">
              <w:rPr>
                <w:color w:val="000000" w:themeColor="text1"/>
              </w:rPr>
              <w:t>151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DC98415" w14:textId="6671F2FD" w:rsidR="00BE416E" w:rsidRPr="00BE416E" w:rsidRDefault="00BE416E" w:rsidP="00BE416E">
            <w:pPr>
              <w:spacing w:line="480" w:lineRule="auto"/>
              <w:jc w:val="center"/>
              <w:rPr>
                <w:color w:val="000000" w:themeColor="text1"/>
              </w:rPr>
            </w:pPr>
            <w:r w:rsidRPr="00BE416E">
              <w:rPr>
                <w:color w:val="000000" w:themeColor="text1"/>
              </w:rPr>
              <w:t>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6DCD2F3" w14:textId="26D50093" w:rsidR="00BE416E" w:rsidRPr="00BE416E" w:rsidRDefault="00BE416E" w:rsidP="00BE416E">
            <w:pPr>
              <w:spacing w:line="480" w:lineRule="auto"/>
              <w:jc w:val="center"/>
              <w:rPr>
                <w:color w:val="000000" w:themeColor="text1"/>
              </w:rPr>
            </w:pPr>
            <w:r w:rsidRPr="00BE416E">
              <w:rPr>
                <w:color w:val="000000" w:themeColor="text1"/>
              </w:rPr>
              <w:t>127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0958C64" w14:textId="5E098B5F" w:rsidR="00BE416E" w:rsidRPr="00BE416E" w:rsidRDefault="00BE416E" w:rsidP="00BE416E">
            <w:pPr>
              <w:spacing w:line="480" w:lineRule="auto"/>
              <w:jc w:val="center"/>
              <w:rPr>
                <w:color w:val="000000" w:themeColor="text1"/>
              </w:rPr>
            </w:pPr>
            <w:r w:rsidRPr="00BE416E">
              <w:rPr>
                <w:color w:val="000000" w:themeColor="text1"/>
              </w:rPr>
              <w:t>103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437C98C" w14:textId="13298324" w:rsidR="00BE416E" w:rsidRPr="00BE416E" w:rsidRDefault="00BE416E" w:rsidP="00BE416E">
            <w:pPr>
              <w:spacing w:line="480" w:lineRule="auto"/>
              <w:jc w:val="center"/>
              <w:rPr>
                <w:color w:val="000000" w:themeColor="text1"/>
              </w:rPr>
            </w:pPr>
            <w:r w:rsidRPr="00BE416E">
              <w:rPr>
                <w:color w:val="000000" w:themeColor="text1"/>
              </w:rPr>
              <w:t>106</w:t>
            </w:r>
          </w:p>
        </w:tc>
      </w:tr>
    </w:tbl>
    <w:p w14:paraId="4C15EDB7" w14:textId="77777777" w:rsidR="00BE416E" w:rsidRPr="00A359D1" w:rsidRDefault="00BE416E" w:rsidP="00253EE2">
      <w:pPr>
        <w:spacing w:line="480" w:lineRule="auto"/>
      </w:pPr>
    </w:p>
    <w:sectPr w:rsidR="00BE416E" w:rsidRPr="00A359D1" w:rsidSect="00340CD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DE57" w14:textId="77777777" w:rsidR="00D96C1A" w:rsidRDefault="00D96C1A" w:rsidP="006C2E46">
      <w:r>
        <w:separator/>
      </w:r>
    </w:p>
  </w:endnote>
  <w:endnote w:type="continuationSeparator" w:id="0">
    <w:p w14:paraId="6DD486C8" w14:textId="77777777" w:rsidR="00D96C1A" w:rsidRDefault="00D96C1A" w:rsidP="006C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E84B" w14:textId="77777777" w:rsidR="00D96C1A" w:rsidRDefault="00D96C1A" w:rsidP="006C2E46">
      <w:r>
        <w:separator/>
      </w:r>
    </w:p>
  </w:footnote>
  <w:footnote w:type="continuationSeparator" w:id="0">
    <w:p w14:paraId="477D83C5" w14:textId="77777777" w:rsidR="00D96C1A" w:rsidRDefault="00D96C1A" w:rsidP="006C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704004"/>
      <w:docPartObj>
        <w:docPartGallery w:val="Page Numbers (Top of Page)"/>
        <w:docPartUnique/>
      </w:docPartObj>
    </w:sdtPr>
    <w:sdtEndPr>
      <w:rPr>
        <w:rStyle w:val="PageNumber"/>
      </w:rPr>
    </w:sdtEndPr>
    <w:sdtContent>
      <w:p w14:paraId="5927D315" w14:textId="27AB2F0A" w:rsidR="00BE3FD6" w:rsidRDefault="00BE3FD6" w:rsidP="00911B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C8359" w14:textId="77777777" w:rsidR="00BE3FD6" w:rsidRDefault="00BE3FD6" w:rsidP="00BE3F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102383"/>
      <w:docPartObj>
        <w:docPartGallery w:val="Page Numbers (Top of Page)"/>
        <w:docPartUnique/>
      </w:docPartObj>
    </w:sdtPr>
    <w:sdtEndPr>
      <w:rPr>
        <w:rStyle w:val="PageNumber"/>
      </w:rPr>
    </w:sdtEndPr>
    <w:sdtContent>
      <w:p w14:paraId="029333A4" w14:textId="6F289A3C" w:rsidR="00BE3FD6" w:rsidRDefault="00BE3FD6" w:rsidP="00911B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1584C5" w14:textId="77777777" w:rsidR="00BE3FD6" w:rsidRDefault="00BE3FD6" w:rsidP="00BE3FD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082D"/>
    <w:multiLevelType w:val="hybridMultilevel"/>
    <w:tmpl w:val="AA1EADC4"/>
    <w:lvl w:ilvl="0" w:tplc="CA14197C">
      <w:start w:val="1"/>
      <w:numFmt w:val="decimal"/>
      <w:lvlText w:val="%1."/>
      <w:lvlJc w:val="left"/>
      <w:pPr>
        <w:tabs>
          <w:tab w:val="num" w:pos="720"/>
        </w:tabs>
        <w:ind w:left="720" w:hanging="360"/>
      </w:pPr>
    </w:lvl>
    <w:lvl w:ilvl="1" w:tplc="26A280AC" w:tentative="1">
      <w:start w:val="1"/>
      <w:numFmt w:val="decimal"/>
      <w:lvlText w:val="%2."/>
      <w:lvlJc w:val="left"/>
      <w:pPr>
        <w:tabs>
          <w:tab w:val="num" w:pos="1440"/>
        </w:tabs>
        <w:ind w:left="1440" w:hanging="360"/>
      </w:pPr>
    </w:lvl>
    <w:lvl w:ilvl="2" w:tplc="B42C9552" w:tentative="1">
      <w:start w:val="1"/>
      <w:numFmt w:val="decimal"/>
      <w:lvlText w:val="%3."/>
      <w:lvlJc w:val="left"/>
      <w:pPr>
        <w:tabs>
          <w:tab w:val="num" w:pos="2160"/>
        </w:tabs>
        <w:ind w:left="2160" w:hanging="360"/>
      </w:pPr>
    </w:lvl>
    <w:lvl w:ilvl="3" w:tplc="E7C28436" w:tentative="1">
      <w:start w:val="1"/>
      <w:numFmt w:val="decimal"/>
      <w:lvlText w:val="%4."/>
      <w:lvlJc w:val="left"/>
      <w:pPr>
        <w:tabs>
          <w:tab w:val="num" w:pos="2880"/>
        </w:tabs>
        <w:ind w:left="2880" w:hanging="360"/>
      </w:pPr>
    </w:lvl>
    <w:lvl w:ilvl="4" w:tplc="91EA4F1A" w:tentative="1">
      <w:start w:val="1"/>
      <w:numFmt w:val="decimal"/>
      <w:lvlText w:val="%5."/>
      <w:lvlJc w:val="left"/>
      <w:pPr>
        <w:tabs>
          <w:tab w:val="num" w:pos="3600"/>
        </w:tabs>
        <w:ind w:left="3600" w:hanging="360"/>
      </w:pPr>
    </w:lvl>
    <w:lvl w:ilvl="5" w:tplc="0616EF12" w:tentative="1">
      <w:start w:val="1"/>
      <w:numFmt w:val="decimal"/>
      <w:lvlText w:val="%6."/>
      <w:lvlJc w:val="left"/>
      <w:pPr>
        <w:tabs>
          <w:tab w:val="num" w:pos="4320"/>
        </w:tabs>
        <w:ind w:left="4320" w:hanging="360"/>
      </w:pPr>
    </w:lvl>
    <w:lvl w:ilvl="6" w:tplc="22DA81B4" w:tentative="1">
      <w:start w:val="1"/>
      <w:numFmt w:val="decimal"/>
      <w:lvlText w:val="%7."/>
      <w:lvlJc w:val="left"/>
      <w:pPr>
        <w:tabs>
          <w:tab w:val="num" w:pos="5040"/>
        </w:tabs>
        <w:ind w:left="5040" w:hanging="360"/>
      </w:pPr>
    </w:lvl>
    <w:lvl w:ilvl="7" w:tplc="58CE317A" w:tentative="1">
      <w:start w:val="1"/>
      <w:numFmt w:val="decimal"/>
      <w:lvlText w:val="%8."/>
      <w:lvlJc w:val="left"/>
      <w:pPr>
        <w:tabs>
          <w:tab w:val="num" w:pos="5760"/>
        </w:tabs>
        <w:ind w:left="5760" w:hanging="360"/>
      </w:pPr>
    </w:lvl>
    <w:lvl w:ilvl="8" w:tplc="A32677D6" w:tentative="1">
      <w:start w:val="1"/>
      <w:numFmt w:val="decimal"/>
      <w:lvlText w:val="%9."/>
      <w:lvlJc w:val="left"/>
      <w:pPr>
        <w:tabs>
          <w:tab w:val="num" w:pos="6480"/>
        </w:tabs>
        <w:ind w:left="6480" w:hanging="360"/>
      </w:pPr>
    </w:lvl>
  </w:abstractNum>
  <w:abstractNum w:abstractNumId="1" w15:restartNumberingAfterBreak="0">
    <w:nsid w:val="312046C6"/>
    <w:multiLevelType w:val="hybridMultilevel"/>
    <w:tmpl w:val="C03A0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FD3B18"/>
    <w:multiLevelType w:val="hybridMultilevel"/>
    <w:tmpl w:val="74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23991"/>
    <w:multiLevelType w:val="hybridMultilevel"/>
    <w:tmpl w:val="20B2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B0A02"/>
    <w:multiLevelType w:val="multilevel"/>
    <w:tmpl w:val="2B8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23D59"/>
    <w:multiLevelType w:val="hybridMultilevel"/>
    <w:tmpl w:val="F44A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77718"/>
    <w:multiLevelType w:val="hybridMultilevel"/>
    <w:tmpl w:val="376C87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E3F2358"/>
    <w:multiLevelType w:val="hybridMultilevel"/>
    <w:tmpl w:val="C16CFFF2"/>
    <w:lvl w:ilvl="0" w:tplc="895036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B4E7C"/>
    <w:multiLevelType w:val="multilevel"/>
    <w:tmpl w:val="7F6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45"/>
    <w:rsid w:val="000004DE"/>
    <w:rsid w:val="000048CA"/>
    <w:rsid w:val="00005D58"/>
    <w:rsid w:val="00016906"/>
    <w:rsid w:val="0002633B"/>
    <w:rsid w:val="00027C89"/>
    <w:rsid w:val="000355F4"/>
    <w:rsid w:val="00041226"/>
    <w:rsid w:val="00052B62"/>
    <w:rsid w:val="00053DDE"/>
    <w:rsid w:val="00062F31"/>
    <w:rsid w:val="0006440A"/>
    <w:rsid w:val="00070B8A"/>
    <w:rsid w:val="000729C8"/>
    <w:rsid w:val="00083D4A"/>
    <w:rsid w:val="00095337"/>
    <w:rsid w:val="000A4729"/>
    <w:rsid w:val="000C1EFE"/>
    <w:rsid w:val="000C2713"/>
    <w:rsid w:val="000D7785"/>
    <w:rsid w:val="000E324B"/>
    <w:rsid w:val="000F58B7"/>
    <w:rsid w:val="00101B10"/>
    <w:rsid w:val="00105E3F"/>
    <w:rsid w:val="001062D8"/>
    <w:rsid w:val="00106AD2"/>
    <w:rsid w:val="001120C9"/>
    <w:rsid w:val="00113291"/>
    <w:rsid w:val="0011428F"/>
    <w:rsid w:val="001144D9"/>
    <w:rsid w:val="001152E2"/>
    <w:rsid w:val="00123104"/>
    <w:rsid w:val="00133910"/>
    <w:rsid w:val="001350A4"/>
    <w:rsid w:val="001428A0"/>
    <w:rsid w:val="00153E00"/>
    <w:rsid w:val="0015794A"/>
    <w:rsid w:val="001676E8"/>
    <w:rsid w:val="00174DBF"/>
    <w:rsid w:val="00176593"/>
    <w:rsid w:val="00182CFF"/>
    <w:rsid w:val="00183E04"/>
    <w:rsid w:val="00185F76"/>
    <w:rsid w:val="001A1CC3"/>
    <w:rsid w:val="001A74F2"/>
    <w:rsid w:val="001B2861"/>
    <w:rsid w:val="001B31AF"/>
    <w:rsid w:val="001C0A3A"/>
    <w:rsid w:val="001C6431"/>
    <w:rsid w:val="001E02AF"/>
    <w:rsid w:val="001E5391"/>
    <w:rsid w:val="001E7BFB"/>
    <w:rsid w:val="001F45D2"/>
    <w:rsid w:val="001F6D7E"/>
    <w:rsid w:val="00213F78"/>
    <w:rsid w:val="00220BCE"/>
    <w:rsid w:val="00224088"/>
    <w:rsid w:val="0022413C"/>
    <w:rsid w:val="00225C8A"/>
    <w:rsid w:val="00237932"/>
    <w:rsid w:val="00244E2A"/>
    <w:rsid w:val="002479BD"/>
    <w:rsid w:val="0025060E"/>
    <w:rsid w:val="00253EE2"/>
    <w:rsid w:val="002736B7"/>
    <w:rsid w:val="002750F8"/>
    <w:rsid w:val="00282C20"/>
    <w:rsid w:val="0028367E"/>
    <w:rsid w:val="00283B2A"/>
    <w:rsid w:val="00284442"/>
    <w:rsid w:val="002868E4"/>
    <w:rsid w:val="002A14C9"/>
    <w:rsid w:val="002B0A3C"/>
    <w:rsid w:val="002B2CAC"/>
    <w:rsid w:val="002D0D5B"/>
    <w:rsid w:val="002E7626"/>
    <w:rsid w:val="002F6974"/>
    <w:rsid w:val="00304210"/>
    <w:rsid w:val="00310E92"/>
    <w:rsid w:val="003126BE"/>
    <w:rsid w:val="0033031B"/>
    <w:rsid w:val="00330FCA"/>
    <w:rsid w:val="003318E6"/>
    <w:rsid w:val="003402EA"/>
    <w:rsid w:val="00340CDA"/>
    <w:rsid w:val="003416CD"/>
    <w:rsid w:val="00342EBA"/>
    <w:rsid w:val="00347510"/>
    <w:rsid w:val="00351E6C"/>
    <w:rsid w:val="00354AC6"/>
    <w:rsid w:val="00357463"/>
    <w:rsid w:val="003578BD"/>
    <w:rsid w:val="00367BA3"/>
    <w:rsid w:val="003716E4"/>
    <w:rsid w:val="00371DDB"/>
    <w:rsid w:val="003731F9"/>
    <w:rsid w:val="00373918"/>
    <w:rsid w:val="003A2A0B"/>
    <w:rsid w:val="003A3509"/>
    <w:rsid w:val="003A4354"/>
    <w:rsid w:val="003C4209"/>
    <w:rsid w:val="003C5766"/>
    <w:rsid w:val="003D2B2A"/>
    <w:rsid w:val="003D3013"/>
    <w:rsid w:val="003D4261"/>
    <w:rsid w:val="003D68F8"/>
    <w:rsid w:val="003E3129"/>
    <w:rsid w:val="003E7431"/>
    <w:rsid w:val="003F03E5"/>
    <w:rsid w:val="003F3F09"/>
    <w:rsid w:val="003F7CC8"/>
    <w:rsid w:val="00406571"/>
    <w:rsid w:val="00415EB2"/>
    <w:rsid w:val="00423607"/>
    <w:rsid w:val="004268C1"/>
    <w:rsid w:val="00430004"/>
    <w:rsid w:val="004433BE"/>
    <w:rsid w:val="00447A6C"/>
    <w:rsid w:val="00454545"/>
    <w:rsid w:val="00471492"/>
    <w:rsid w:val="00472424"/>
    <w:rsid w:val="004800EC"/>
    <w:rsid w:val="00486CB3"/>
    <w:rsid w:val="004A3091"/>
    <w:rsid w:val="004C0D76"/>
    <w:rsid w:val="004D1140"/>
    <w:rsid w:val="004D7716"/>
    <w:rsid w:val="004E096F"/>
    <w:rsid w:val="004F07E1"/>
    <w:rsid w:val="00502827"/>
    <w:rsid w:val="00504880"/>
    <w:rsid w:val="00504D03"/>
    <w:rsid w:val="00504E2E"/>
    <w:rsid w:val="00513F97"/>
    <w:rsid w:val="00516593"/>
    <w:rsid w:val="00526C34"/>
    <w:rsid w:val="00530149"/>
    <w:rsid w:val="00542BB4"/>
    <w:rsid w:val="005476E4"/>
    <w:rsid w:val="005555A2"/>
    <w:rsid w:val="00556C78"/>
    <w:rsid w:val="005570D2"/>
    <w:rsid w:val="00557438"/>
    <w:rsid w:val="0056651B"/>
    <w:rsid w:val="005677F2"/>
    <w:rsid w:val="0057206D"/>
    <w:rsid w:val="00581F4B"/>
    <w:rsid w:val="00593A16"/>
    <w:rsid w:val="0059698B"/>
    <w:rsid w:val="005A31B0"/>
    <w:rsid w:val="005B1CB5"/>
    <w:rsid w:val="005C05F3"/>
    <w:rsid w:val="005C0C5A"/>
    <w:rsid w:val="005C1C5E"/>
    <w:rsid w:val="005C265B"/>
    <w:rsid w:val="005D3232"/>
    <w:rsid w:val="005D3738"/>
    <w:rsid w:val="005D626B"/>
    <w:rsid w:val="005D7914"/>
    <w:rsid w:val="005E332B"/>
    <w:rsid w:val="005F1D35"/>
    <w:rsid w:val="005F2334"/>
    <w:rsid w:val="00601424"/>
    <w:rsid w:val="006075CD"/>
    <w:rsid w:val="00610724"/>
    <w:rsid w:val="00611CDB"/>
    <w:rsid w:val="00612407"/>
    <w:rsid w:val="00612FAF"/>
    <w:rsid w:val="00623AB7"/>
    <w:rsid w:val="00632D25"/>
    <w:rsid w:val="0063486C"/>
    <w:rsid w:val="00635436"/>
    <w:rsid w:val="00642684"/>
    <w:rsid w:val="00660C71"/>
    <w:rsid w:val="00661ED7"/>
    <w:rsid w:val="006625D0"/>
    <w:rsid w:val="0066735B"/>
    <w:rsid w:val="0066771C"/>
    <w:rsid w:val="00670158"/>
    <w:rsid w:val="006712B1"/>
    <w:rsid w:val="006846E7"/>
    <w:rsid w:val="00686EA3"/>
    <w:rsid w:val="006879F5"/>
    <w:rsid w:val="006978D4"/>
    <w:rsid w:val="006A00CB"/>
    <w:rsid w:val="006A0EFA"/>
    <w:rsid w:val="006B48CA"/>
    <w:rsid w:val="006C0B0A"/>
    <w:rsid w:val="006C2E46"/>
    <w:rsid w:val="006C627B"/>
    <w:rsid w:val="006D1515"/>
    <w:rsid w:val="006D1A5F"/>
    <w:rsid w:val="006E63CC"/>
    <w:rsid w:val="006F775F"/>
    <w:rsid w:val="006F7E57"/>
    <w:rsid w:val="007116E5"/>
    <w:rsid w:val="00711B32"/>
    <w:rsid w:val="00711DB6"/>
    <w:rsid w:val="00714E2D"/>
    <w:rsid w:val="007218BC"/>
    <w:rsid w:val="00723159"/>
    <w:rsid w:val="00727386"/>
    <w:rsid w:val="00735E58"/>
    <w:rsid w:val="00753A06"/>
    <w:rsid w:val="00755D16"/>
    <w:rsid w:val="00770034"/>
    <w:rsid w:val="00774C52"/>
    <w:rsid w:val="00780377"/>
    <w:rsid w:val="007928D4"/>
    <w:rsid w:val="00794987"/>
    <w:rsid w:val="007B7E33"/>
    <w:rsid w:val="007C06D7"/>
    <w:rsid w:val="007E0A87"/>
    <w:rsid w:val="007E26AD"/>
    <w:rsid w:val="007F3415"/>
    <w:rsid w:val="00802026"/>
    <w:rsid w:val="008077BC"/>
    <w:rsid w:val="00816B24"/>
    <w:rsid w:val="0083061F"/>
    <w:rsid w:val="0083077A"/>
    <w:rsid w:val="008407F9"/>
    <w:rsid w:val="00841E88"/>
    <w:rsid w:val="00845A6B"/>
    <w:rsid w:val="00855758"/>
    <w:rsid w:val="00856A9A"/>
    <w:rsid w:val="00862FC4"/>
    <w:rsid w:val="00866A50"/>
    <w:rsid w:val="008844A2"/>
    <w:rsid w:val="008845E3"/>
    <w:rsid w:val="008856DE"/>
    <w:rsid w:val="00886414"/>
    <w:rsid w:val="00890A4D"/>
    <w:rsid w:val="00893CEA"/>
    <w:rsid w:val="008A0071"/>
    <w:rsid w:val="008A7950"/>
    <w:rsid w:val="008B4FB1"/>
    <w:rsid w:val="008C089C"/>
    <w:rsid w:val="008C34D1"/>
    <w:rsid w:val="008C7A93"/>
    <w:rsid w:val="008D1D08"/>
    <w:rsid w:val="008E05B4"/>
    <w:rsid w:val="008F46F9"/>
    <w:rsid w:val="00907DFD"/>
    <w:rsid w:val="00907E0F"/>
    <w:rsid w:val="0091173A"/>
    <w:rsid w:val="00917C7F"/>
    <w:rsid w:val="00951807"/>
    <w:rsid w:val="00974A84"/>
    <w:rsid w:val="0097574B"/>
    <w:rsid w:val="00986AAE"/>
    <w:rsid w:val="009B26B8"/>
    <w:rsid w:val="009C1DC4"/>
    <w:rsid w:val="009D3824"/>
    <w:rsid w:val="009D3910"/>
    <w:rsid w:val="009E6F26"/>
    <w:rsid w:val="009F3E7F"/>
    <w:rsid w:val="009F45FE"/>
    <w:rsid w:val="00A03BF7"/>
    <w:rsid w:val="00A04905"/>
    <w:rsid w:val="00A13D2D"/>
    <w:rsid w:val="00A16834"/>
    <w:rsid w:val="00A323F6"/>
    <w:rsid w:val="00A359D1"/>
    <w:rsid w:val="00A41737"/>
    <w:rsid w:val="00A41A03"/>
    <w:rsid w:val="00A4429C"/>
    <w:rsid w:val="00A4526D"/>
    <w:rsid w:val="00A502C1"/>
    <w:rsid w:val="00A50C72"/>
    <w:rsid w:val="00A5257F"/>
    <w:rsid w:val="00A553DE"/>
    <w:rsid w:val="00A65C7A"/>
    <w:rsid w:val="00A77EAC"/>
    <w:rsid w:val="00A83D57"/>
    <w:rsid w:val="00A94308"/>
    <w:rsid w:val="00A95BC9"/>
    <w:rsid w:val="00A9670E"/>
    <w:rsid w:val="00A96C80"/>
    <w:rsid w:val="00AA1646"/>
    <w:rsid w:val="00AB15ED"/>
    <w:rsid w:val="00AB2ECE"/>
    <w:rsid w:val="00AB3741"/>
    <w:rsid w:val="00AC067B"/>
    <w:rsid w:val="00AC274C"/>
    <w:rsid w:val="00AC5FA1"/>
    <w:rsid w:val="00AE176F"/>
    <w:rsid w:val="00AF58D4"/>
    <w:rsid w:val="00AF7EF4"/>
    <w:rsid w:val="00B06AF8"/>
    <w:rsid w:val="00B1548A"/>
    <w:rsid w:val="00B17210"/>
    <w:rsid w:val="00B26DAE"/>
    <w:rsid w:val="00B27AB9"/>
    <w:rsid w:val="00B40340"/>
    <w:rsid w:val="00B43DC1"/>
    <w:rsid w:val="00B4421C"/>
    <w:rsid w:val="00B47B98"/>
    <w:rsid w:val="00B519EB"/>
    <w:rsid w:val="00B53302"/>
    <w:rsid w:val="00B561CC"/>
    <w:rsid w:val="00B6458C"/>
    <w:rsid w:val="00B64C8C"/>
    <w:rsid w:val="00B6520C"/>
    <w:rsid w:val="00B81D2C"/>
    <w:rsid w:val="00B865FA"/>
    <w:rsid w:val="00B92CCF"/>
    <w:rsid w:val="00BA2E12"/>
    <w:rsid w:val="00BA6CD2"/>
    <w:rsid w:val="00BB1B42"/>
    <w:rsid w:val="00BB5FDA"/>
    <w:rsid w:val="00BC06C4"/>
    <w:rsid w:val="00BC6222"/>
    <w:rsid w:val="00BD039D"/>
    <w:rsid w:val="00BD0688"/>
    <w:rsid w:val="00BE3FD6"/>
    <w:rsid w:val="00BE416E"/>
    <w:rsid w:val="00BE65BD"/>
    <w:rsid w:val="00BF579F"/>
    <w:rsid w:val="00C00001"/>
    <w:rsid w:val="00C13490"/>
    <w:rsid w:val="00C32D0F"/>
    <w:rsid w:val="00C366AF"/>
    <w:rsid w:val="00C66F79"/>
    <w:rsid w:val="00C84AB7"/>
    <w:rsid w:val="00C97BCD"/>
    <w:rsid w:val="00CA2974"/>
    <w:rsid w:val="00CA52F5"/>
    <w:rsid w:val="00CA5D71"/>
    <w:rsid w:val="00CA7C0C"/>
    <w:rsid w:val="00CB040D"/>
    <w:rsid w:val="00CB24A3"/>
    <w:rsid w:val="00CC404A"/>
    <w:rsid w:val="00CD5E8A"/>
    <w:rsid w:val="00CD6854"/>
    <w:rsid w:val="00CE14A8"/>
    <w:rsid w:val="00CE5CCF"/>
    <w:rsid w:val="00CF4C1D"/>
    <w:rsid w:val="00D0529F"/>
    <w:rsid w:val="00D06CAC"/>
    <w:rsid w:val="00D07816"/>
    <w:rsid w:val="00D140CA"/>
    <w:rsid w:val="00D164D7"/>
    <w:rsid w:val="00D17FA7"/>
    <w:rsid w:val="00D21A12"/>
    <w:rsid w:val="00D2282C"/>
    <w:rsid w:val="00D26788"/>
    <w:rsid w:val="00D30C91"/>
    <w:rsid w:val="00D3263F"/>
    <w:rsid w:val="00D4467E"/>
    <w:rsid w:val="00D46C8D"/>
    <w:rsid w:val="00D46FE9"/>
    <w:rsid w:val="00D50946"/>
    <w:rsid w:val="00D53DE0"/>
    <w:rsid w:val="00D556E0"/>
    <w:rsid w:val="00D6522C"/>
    <w:rsid w:val="00D72088"/>
    <w:rsid w:val="00D83CF4"/>
    <w:rsid w:val="00D96C1A"/>
    <w:rsid w:val="00DA4553"/>
    <w:rsid w:val="00DB0F09"/>
    <w:rsid w:val="00DB6CDA"/>
    <w:rsid w:val="00DB727B"/>
    <w:rsid w:val="00DC671D"/>
    <w:rsid w:val="00DD281C"/>
    <w:rsid w:val="00DD62B0"/>
    <w:rsid w:val="00DE7C7B"/>
    <w:rsid w:val="00DF4C74"/>
    <w:rsid w:val="00E110DF"/>
    <w:rsid w:val="00E26030"/>
    <w:rsid w:val="00E340E8"/>
    <w:rsid w:val="00E3535F"/>
    <w:rsid w:val="00E45E35"/>
    <w:rsid w:val="00E507C1"/>
    <w:rsid w:val="00E513AC"/>
    <w:rsid w:val="00E52D48"/>
    <w:rsid w:val="00E54D8C"/>
    <w:rsid w:val="00E56F81"/>
    <w:rsid w:val="00E61475"/>
    <w:rsid w:val="00E63F16"/>
    <w:rsid w:val="00E643F1"/>
    <w:rsid w:val="00E66052"/>
    <w:rsid w:val="00E806F7"/>
    <w:rsid w:val="00E8257E"/>
    <w:rsid w:val="00E9050C"/>
    <w:rsid w:val="00E96307"/>
    <w:rsid w:val="00E97CCF"/>
    <w:rsid w:val="00EA1DF5"/>
    <w:rsid w:val="00EA2901"/>
    <w:rsid w:val="00EA5D9F"/>
    <w:rsid w:val="00EA6722"/>
    <w:rsid w:val="00EC15D6"/>
    <w:rsid w:val="00EC429B"/>
    <w:rsid w:val="00EC43E8"/>
    <w:rsid w:val="00ED3AF8"/>
    <w:rsid w:val="00ED6C1F"/>
    <w:rsid w:val="00EE1EFC"/>
    <w:rsid w:val="00EF033B"/>
    <w:rsid w:val="00EF33EB"/>
    <w:rsid w:val="00F0428C"/>
    <w:rsid w:val="00F14F4B"/>
    <w:rsid w:val="00F1785D"/>
    <w:rsid w:val="00F21435"/>
    <w:rsid w:val="00F21A61"/>
    <w:rsid w:val="00F27CE2"/>
    <w:rsid w:val="00F35638"/>
    <w:rsid w:val="00F357FD"/>
    <w:rsid w:val="00F3659C"/>
    <w:rsid w:val="00F52C57"/>
    <w:rsid w:val="00F55179"/>
    <w:rsid w:val="00F70FCB"/>
    <w:rsid w:val="00F7275F"/>
    <w:rsid w:val="00F74867"/>
    <w:rsid w:val="00F82CB7"/>
    <w:rsid w:val="00F94A70"/>
    <w:rsid w:val="00F95C0C"/>
    <w:rsid w:val="00F96275"/>
    <w:rsid w:val="00F96EB3"/>
    <w:rsid w:val="00FA039C"/>
    <w:rsid w:val="00FB52B7"/>
    <w:rsid w:val="00FC6418"/>
    <w:rsid w:val="00FE340D"/>
    <w:rsid w:val="00FF0AEC"/>
    <w:rsid w:val="00FF348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38B9"/>
  <w15:chartTrackingRefBased/>
  <w15:docId w15:val="{4403F09D-D5DE-4C43-8E30-4ADFF00B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E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6879F5"/>
    <w:rPr>
      <w:vertAlign w:val="superscript"/>
    </w:rPr>
  </w:style>
  <w:style w:type="paragraph" w:styleId="EndnoteText">
    <w:name w:val="endnote text"/>
    <w:basedOn w:val="Normal"/>
    <w:link w:val="EndnoteTextChar"/>
    <w:uiPriority w:val="99"/>
    <w:unhideWhenUsed/>
    <w:rsid w:val="006879F5"/>
    <w:rPr>
      <w:rFonts w:eastAsiaTheme="minorHAnsi" w:cstheme="minorBidi"/>
      <w:sz w:val="20"/>
      <w:szCs w:val="20"/>
    </w:rPr>
  </w:style>
  <w:style w:type="character" w:customStyle="1" w:styleId="EndnoteTextChar">
    <w:name w:val="Endnote Text Char"/>
    <w:basedOn w:val="DefaultParagraphFont"/>
    <w:link w:val="EndnoteText"/>
    <w:uiPriority w:val="99"/>
    <w:rsid w:val="006879F5"/>
    <w:rPr>
      <w:sz w:val="20"/>
      <w:szCs w:val="20"/>
    </w:rPr>
  </w:style>
  <w:style w:type="paragraph" w:styleId="BalloonText">
    <w:name w:val="Balloon Text"/>
    <w:basedOn w:val="Normal"/>
    <w:link w:val="BalloonTextChar"/>
    <w:uiPriority w:val="99"/>
    <w:semiHidden/>
    <w:unhideWhenUsed/>
    <w:rsid w:val="006879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879F5"/>
    <w:rPr>
      <w:rFonts w:ascii="Segoe UI" w:hAnsi="Segoe UI" w:cs="Segoe UI"/>
      <w:sz w:val="18"/>
      <w:szCs w:val="18"/>
    </w:rPr>
  </w:style>
  <w:style w:type="paragraph" w:styleId="ListParagraph">
    <w:name w:val="List Paragraph"/>
    <w:basedOn w:val="Normal"/>
    <w:uiPriority w:val="34"/>
    <w:qFormat/>
    <w:rsid w:val="006879F5"/>
    <w:pPr>
      <w:ind w:left="720"/>
      <w:contextualSpacing/>
    </w:pPr>
    <w:rPr>
      <w:rFonts w:eastAsiaTheme="minorHAnsi" w:cstheme="minorBidi"/>
      <w:szCs w:val="22"/>
    </w:rPr>
  </w:style>
  <w:style w:type="character" w:styleId="Hyperlink">
    <w:name w:val="Hyperlink"/>
    <w:basedOn w:val="DefaultParagraphFont"/>
    <w:uiPriority w:val="99"/>
    <w:unhideWhenUsed/>
    <w:rsid w:val="000F58B7"/>
    <w:rPr>
      <w:color w:val="0563C1" w:themeColor="hyperlink"/>
      <w:u w:val="single"/>
    </w:rPr>
  </w:style>
  <w:style w:type="character" w:styleId="UnresolvedMention">
    <w:name w:val="Unresolved Mention"/>
    <w:basedOn w:val="DefaultParagraphFont"/>
    <w:uiPriority w:val="99"/>
    <w:semiHidden/>
    <w:unhideWhenUsed/>
    <w:rsid w:val="000F58B7"/>
    <w:rPr>
      <w:color w:val="605E5C"/>
      <w:shd w:val="clear" w:color="auto" w:fill="E1DFDD"/>
    </w:rPr>
  </w:style>
  <w:style w:type="table" w:styleId="TableGrid">
    <w:name w:val="Table Grid"/>
    <w:basedOn w:val="TableNormal"/>
    <w:uiPriority w:val="39"/>
    <w:rsid w:val="008C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2E4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C2E46"/>
    <w:rPr>
      <w:sz w:val="20"/>
      <w:szCs w:val="20"/>
    </w:rPr>
  </w:style>
  <w:style w:type="character" w:styleId="FootnoteReference">
    <w:name w:val="footnote reference"/>
    <w:basedOn w:val="DefaultParagraphFont"/>
    <w:uiPriority w:val="99"/>
    <w:semiHidden/>
    <w:unhideWhenUsed/>
    <w:rsid w:val="006C2E46"/>
    <w:rPr>
      <w:vertAlign w:val="superscript"/>
    </w:rPr>
  </w:style>
  <w:style w:type="paragraph" w:styleId="Header">
    <w:name w:val="header"/>
    <w:basedOn w:val="Normal"/>
    <w:link w:val="HeaderChar"/>
    <w:uiPriority w:val="99"/>
    <w:unhideWhenUsed/>
    <w:rsid w:val="00BE3FD6"/>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BE3FD6"/>
  </w:style>
  <w:style w:type="character" w:styleId="PageNumber">
    <w:name w:val="page number"/>
    <w:basedOn w:val="DefaultParagraphFont"/>
    <w:uiPriority w:val="99"/>
    <w:semiHidden/>
    <w:unhideWhenUsed/>
    <w:rsid w:val="00BE3FD6"/>
  </w:style>
  <w:style w:type="character" w:customStyle="1" w:styleId="apple-converted-space">
    <w:name w:val="apple-converted-space"/>
    <w:basedOn w:val="DefaultParagraphFont"/>
    <w:rsid w:val="007E0A87"/>
  </w:style>
  <w:style w:type="character" w:customStyle="1" w:styleId="textlayer--absolute">
    <w:name w:val="textlayer--absolute"/>
    <w:basedOn w:val="DefaultParagraphFont"/>
    <w:rsid w:val="00B47B98"/>
  </w:style>
  <w:style w:type="character" w:styleId="HTMLCite">
    <w:name w:val="HTML Cite"/>
    <w:basedOn w:val="DefaultParagraphFont"/>
    <w:uiPriority w:val="99"/>
    <w:semiHidden/>
    <w:unhideWhenUsed/>
    <w:rsid w:val="00AB15ED"/>
    <w:rPr>
      <w:i/>
      <w:iCs/>
    </w:rPr>
  </w:style>
  <w:style w:type="character" w:customStyle="1" w:styleId="text">
    <w:name w:val="text"/>
    <w:basedOn w:val="DefaultParagraphFont"/>
    <w:rsid w:val="00BF579F"/>
  </w:style>
  <w:style w:type="character" w:styleId="FollowedHyperlink">
    <w:name w:val="FollowedHyperlink"/>
    <w:basedOn w:val="DefaultParagraphFont"/>
    <w:uiPriority w:val="99"/>
    <w:semiHidden/>
    <w:unhideWhenUsed/>
    <w:rsid w:val="00816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723">
      <w:bodyDiv w:val="1"/>
      <w:marLeft w:val="0"/>
      <w:marRight w:val="0"/>
      <w:marTop w:val="0"/>
      <w:marBottom w:val="0"/>
      <w:divBdr>
        <w:top w:val="none" w:sz="0" w:space="0" w:color="auto"/>
        <w:left w:val="none" w:sz="0" w:space="0" w:color="auto"/>
        <w:bottom w:val="none" w:sz="0" w:space="0" w:color="auto"/>
        <w:right w:val="none" w:sz="0" w:space="0" w:color="auto"/>
      </w:divBdr>
    </w:div>
    <w:div w:id="59332845">
      <w:bodyDiv w:val="1"/>
      <w:marLeft w:val="0"/>
      <w:marRight w:val="0"/>
      <w:marTop w:val="0"/>
      <w:marBottom w:val="0"/>
      <w:divBdr>
        <w:top w:val="none" w:sz="0" w:space="0" w:color="auto"/>
        <w:left w:val="none" w:sz="0" w:space="0" w:color="auto"/>
        <w:bottom w:val="none" w:sz="0" w:space="0" w:color="auto"/>
        <w:right w:val="none" w:sz="0" w:space="0" w:color="auto"/>
      </w:divBdr>
    </w:div>
    <w:div w:id="258297576">
      <w:bodyDiv w:val="1"/>
      <w:marLeft w:val="0"/>
      <w:marRight w:val="0"/>
      <w:marTop w:val="0"/>
      <w:marBottom w:val="0"/>
      <w:divBdr>
        <w:top w:val="none" w:sz="0" w:space="0" w:color="auto"/>
        <w:left w:val="none" w:sz="0" w:space="0" w:color="auto"/>
        <w:bottom w:val="none" w:sz="0" w:space="0" w:color="auto"/>
        <w:right w:val="none" w:sz="0" w:space="0" w:color="auto"/>
      </w:divBdr>
    </w:div>
    <w:div w:id="364525541">
      <w:bodyDiv w:val="1"/>
      <w:marLeft w:val="0"/>
      <w:marRight w:val="0"/>
      <w:marTop w:val="0"/>
      <w:marBottom w:val="0"/>
      <w:divBdr>
        <w:top w:val="none" w:sz="0" w:space="0" w:color="auto"/>
        <w:left w:val="none" w:sz="0" w:space="0" w:color="auto"/>
        <w:bottom w:val="none" w:sz="0" w:space="0" w:color="auto"/>
        <w:right w:val="none" w:sz="0" w:space="0" w:color="auto"/>
      </w:divBdr>
      <w:divsChild>
        <w:div w:id="1935094148">
          <w:marLeft w:val="0"/>
          <w:marRight w:val="0"/>
          <w:marTop w:val="115"/>
          <w:marBottom w:val="0"/>
          <w:divBdr>
            <w:top w:val="none" w:sz="0" w:space="0" w:color="auto"/>
            <w:left w:val="none" w:sz="0" w:space="0" w:color="auto"/>
            <w:bottom w:val="none" w:sz="0" w:space="0" w:color="auto"/>
            <w:right w:val="none" w:sz="0" w:space="0" w:color="auto"/>
          </w:divBdr>
        </w:div>
        <w:div w:id="1459761236">
          <w:marLeft w:val="0"/>
          <w:marRight w:val="0"/>
          <w:marTop w:val="115"/>
          <w:marBottom w:val="0"/>
          <w:divBdr>
            <w:top w:val="none" w:sz="0" w:space="0" w:color="auto"/>
            <w:left w:val="none" w:sz="0" w:space="0" w:color="auto"/>
            <w:bottom w:val="none" w:sz="0" w:space="0" w:color="auto"/>
            <w:right w:val="none" w:sz="0" w:space="0" w:color="auto"/>
          </w:divBdr>
        </w:div>
        <w:div w:id="394936896">
          <w:marLeft w:val="0"/>
          <w:marRight w:val="0"/>
          <w:marTop w:val="115"/>
          <w:marBottom w:val="0"/>
          <w:divBdr>
            <w:top w:val="none" w:sz="0" w:space="0" w:color="auto"/>
            <w:left w:val="none" w:sz="0" w:space="0" w:color="auto"/>
            <w:bottom w:val="none" w:sz="0" w:space="0" w:color="auto"/>
            <w:right w:val="none" w:sz="0" w:space="0" w:color="auto"/>
          </w:divBdr>
        </w:div>
        <w:div w:id="1283460768">
          <w:marLeft w:val="0"/>
          <w:marRight w:val="0"/>
          <w:marTop w:val="115"/>
          <w:marBottom w:val="0"/>
          <w:divBdr>
            <w:top w:val="none" w:sz="0" w:space="0" w:color="auto"/>
            <w:left w:val="none" w:sz="0" w:space="0" w:color="auto"/>
            <w:bottom w:val="none" w:sz="0" w:space="0" w:color="auto"/>
            <w:right w:val="none" w:sz="0" w:space="0" w:color="auto"/>
          </w:divBdr>
        </w:div>
      </w:divsChild>
    </w:div>
    <w:div w:id="611975784">
      <w:bodyDiv w:val="1"/>
      <w:marLeft w:val="0"/>
      <w:marRight w:val="0"/>
      <w:marTop w:val="0"/>
      <w:marBottom w:val="0"/>
      <w:divBdr>
        <w:top w:val="none" w:sz="0" w:space="0" w:color="auto"/>
        <w:left w:val="none" w:sz="0" w:space="0" w:color="auto"/>
        <w:bottom w:val="none" w:sz="0" w:space="0" w:color="auto"/>
        <w:right w:val="none" w:sz="0" w:space="0" w:color="auto"/>
      </w:divBdr>
    </w:div>
    <w:div w:id="691304764">
      <w:bodyDiv w:val="1"/>
      <w:marLeft w:val="0"/>
      <w:marRight w:val="0"/>
      <w:marTop w:val="0"/>
      <w:marBottom w:val="0"/>
      <w:divBdr>
        <w:top w:val="none" w:sz="0" w:space="0" w:color="auto"/>
        <w:left w:val="none" w:sz="0" w:space="0" w:color="auto"/>
        <w:bottom w:val="none" w:sz="0" w:space="0" w:color="auto"/>
        <w:right w:val="none" w:sz="0" w:space="0" w:color="auto"/>
      </w:divBdr>
    </w:div>
    <w:div w:id="1058897543">
      <w:bodyDiv w:val="1"/>
      <w:marLeft w:val="0"/>
      <w:marRight w:val="0"/>
      <w:marTop w:val="0"/>
      <w:marBottom w:val="0"/>
      <w:divBdr>
        <w:top w:val="none" w:sz="0" w:space="0" w:color="auto"/>
        <w:left w:val="none" w:sz="0" w:space="0" w:color="auto"/>
        <w:bottom w:val="none" w:sz="0" w:space="0" w:color="auto"/>
        <w:right w:val="none" w:sz="0" w:space="0" w:color="auto"/>
      </w:divBdr>
    </w:div>
    <w:div w:id="1126653729">
      <w:bodyDiv w:val="1"/>
      <w:marLeft w:val="0"/>
      <w:marRight w:val="0"/>
      <w:marTop w:val="0"/>
      <w:marBottom w:val="0"/>
      <w:divBdr>
        <w:top w:val="none" w:sz="0" w:space="0" w:color="auto"/>
        <w:left w:val="none" w:sz="0" w:space="0" w:color="auto"/>
        <w:bottom w:val="none" w:sz="0" w:space="0" w:color="auto"/>
        <w:right w:val="none" w:sz="0" w:space="0" w:color="auto"/>
      </w:divBdr>
    </w:div>
    <w:div w:id="1228227107">
      <w:bodyDiv w:val="1"/>
      <w:marLeft w:val="0"/>
      <w:marRight w:val="0"/>
      <w:marTop w:val="0"/>
      <w:marBottom w:val="0"/>
      <w:divBdr>
        <w:top w:val="none" w:sz="0" w:space="0" w:color="auto"/>
        <w:left w:val="none" w:sz="0" w:space="0" w:color="auto"/>
        <w:bottom w:val="none" w:sz="0" w:space="0" w:color="auto"/>
        <w:right w:val="none" w:sz="0" w:space="0" w:color="auto"/>
      </w:divBdr>
    </w:div>
    <w:div w:id="1258899976">
      <w:bodyDiv w:val="1"/>
      <w:marLeft w:val="0"/>
      <w:marRight w:val="0"/>
      <w:marTop w:val="0"/>
      <w:marBottom w:val="0"/>
      <w:divBdr>
        <w:top w:val="none" w:sz="0" w:space="0" w:color="auto"/>
        <w:left w:val="none" w:sz="0" w:space="0" w:color="auto"/>
        <w:bottom w:val="none" w:sz="0" w:space="0" w:color="auto"/>
        <w:right w:val="none" w:sz="0" w:space="0" w:color="auto"/>
      </w:divBdr>
    </w:div>
    <w:div w:id="1533495063">
      <w:bodyDiv w:val="1"/>
      <w:marLeft w:val="0"/>
      <w:marRight w:val="0"/>
      <w:marTop w:val="0"/>
      <w:marBottom w:val="0"/>
      <w:divBdr>
        <w:top w:val="none" w:sz="0" w:space="0" w:color="auto"/>
        <w:left w:val="none" w:sz="0" w:space="0" w:color="auto"/>
        <w:bottom w:val="none" w:sz="0" w:space="0" w:color="auto"/>
        <w:right w:val="none" w:sz="0" w:space="0" w:color="auto"/>
      </w:divBdr>
    </w:div>
    <w:div w:id="1609000884">
      <w:bodyDiv w:val="1"/>
      <w:marLeft w:val="0"/>
      <w:marRight w:val="0"/>
      <w:marTop w:val="0"/>
      <w:marBottom w:val="0"/>
      <w:divBdr>
        <w:top w:val="none" w:sz="0" w:space="0" w:color="auto"/>
        <w:left w:val="none" w:sz="0" w:space="0" w:color="auto"/>
        <w:bottom w:val="none" w:sz="0" w:space="0" w:color="auto"/>
        <w:right w:val="none" w:sz="0" w:space="0" w:color="auto"/>
      </w:divBdr>
    </w:div>
    <w:div w:id="17474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285-1155" TargetMode="External"/><Relationship Id="rId13" Type="http://schemas.openxmlformats.org/officeDocument/2006/relationships/hyperlink" Target="https://doi.org/10.1017/sjp.2016.88" TargetMode="External"/><Relationship Id="rId18" Type="http://schemas.openxmlformats.org/officeDocument/2006/relationships/hyperlink" Target="https://en.wikipedia.org/wiki/Ballantine_Boo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crecord.org/Content.asp?ContentId=18983" TargetMode="External"/><Relationship Id="rId17" Type="http://schemas.openxmlformats.org/officeDocument/2006/relationships/hyperlink" Target="https://academicjournals.org/article/article1379765941_Lacour%20and%20Tissington.pdf" TargetMode="External"/><Relationship Id="rId2" Type="http://schemas.openxmlformats.org/officeDocument/2006/relationships/numbering" Target="numbering.xml"/><Relationship Id="rId16" Type="http://schemas.openxmlformats.org/officeDocument/2006/relationships/hyperlink" Target="https://doi.org/10.1016/j.econedurev.2017.08.001" TargetMode="External"/><Relationship Id="rId20" Type="http://schemas.openxmlformats.org/officeDocument/2006/relationships/hyperlink" Target="https://en.wikipedia.org/wiki/Special:BookSources/978-0345409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ducationnext.org/what-matters-for-student-achievement/" TargetMode="External"/><Relationship Id="rId10" Type="http://schemas.openxmlformats.org/officeDocument/2006/relationships/header" Target="header1.xml"/><Relationship Id="rId19" Type="http://schemas.openxmlformats.org/officeDocument/2006/relationships/hyperlink" Target="https://en.wikipedia.org/wiki/ISBN_(identifier)" TargetMode="External"/><Relationship Id="rId4" Type="http://schemas.openxmlformats.org/officeDocument/2006/relationships/settings" Target="settings.xml"/><Relationship Id="rId9" Type="http://schemas.openxmlformats.org/officeDocument/2006/relationships/hyperlink" Target="mailto:daniel.robinson@uta.edu" TargetMode="External"/><Relationship Id="rId14" Type="http://schemas.openxmlformats.org/officeDocument/2006/relationships/hyperlink" Target="https://psycnet.apa.org/doi/10.2307/11642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1591-039A-4476-BADB-BBC6BE8C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5280</Words>
  <Characters>30099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Robinson, Daniel</cp:lastModifiedBy>
  <cp:revision>2</cp:revision>
  <dcterms:created xsi:type="dcterms:W3CDTF">2022-02-08T20:50:00Z</dcterms:created>
  <dcterms:modified xsi:type="dcterms:W3CDTF">2022-02-08T20:50:00Z</dcterms:modified>
</cp:coreProperties>
</file>