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8FC6" w14:textId="77777777" w:rsidR="00D95C49" w:rsidRPr="00D95C49" w:rsidRDefault="00D95C49" w:rsidP="00D95C49">
      <w:pPr>
        <w:rPr>
          <w:rFonts w:ascii="Calibri" w:eastAsia="Times New Roman" w:hAnsi="Calibri" w:cs="Calibri"/>
          <w:color w:val="000000"/>
          <w:sz w:val="20"/>
          <w:szCs w:val="20"/>
        </w:rPr>
      </w:pPr>
      <w:r w:rsidRPr="00D95C49">
        <w:rPr>
          <w:rFonts w:ascii="Calibri" w:eastAsia="Times New Roman" w:hAnsi="Calibri" w:cs="Calibri"/>
          <w:b/>
          <w:bCs/>
          <w:color w:val="4472C4"/>
        </w:rPr>
        <w:t>When It “Feels Like a Giant Living Room”: Implementing Peer Education at an Urban, Research-1 Hispanic Serving Institution </w:t>
      </w:r>
      <w:r w:rsidRPr="00D95C49">
        <w:rPr>
          <w:rFonts w:ascii="Calibri" w:eastAsia="Times New Roman" w:hAnsi="Calibri" w:cs="Calibri"/>
          <w:b/>
          <w:bCs/>
          <w:color w:val="4472C4"/>
        </w:rPr>
        <w:br/>
      </w:r>
      <w:r w:rsidRPr="00D95C49">
        <w:rPr>
          <w:rFonts w:ascii="Calibri" w:eastAsia="Times New Roman" w:hAnsi="Calibri" w:cs="Calibri"/>
          <w:color w:val="000000"/>
          <w:sz w:val="22"/>
          <w:szCs w:val="22"/>
        </w:rPr>
        <w:t>We report on a qualitative research study that identifies both challenges and successes resulting from the implementation of a Peer Education program at an urban, Hispanic-serving, Tier 1 Research University. By drawing on the experiences of 29 peer educators, we demonstrate the ways that combining peer mentoring and tutoring provided benefits for those who were not only served but those who served them. Lessons learned are shared.</w:t>
      </w:r>
    </w:p>
    <w:p w14:paraId="65138461" w14:textId="77777777" w:rsidR="00D95C49" w:rsidRPr="00D95C49" w:rsidRDefault="00D95C49" w:rsidP="00D95C49">
      <w:pPr>
        <w:rPr>
          <w:rFonts w:ascii="Calibri" w:eastAsia="Times New Roman" w:hAnsi="Calibri" w:cs="Calibri"/>
          <w:color w:val="000000"/>
          <w:sz w:val="20"/>
          <w:szCs w:val="20"/>
        </w:rPr>
      </w:pPr>
      <w:hyperlink r:id="rId4" w:tooltip="https://doi.org/10.1177%2F15381927211052654" w:history="1">
        <w:r w:rsidRPr="00D95C49">
          <w:rPr>
            <w:rFonts w:ascii="Calibri" w:eastAsia="Times New Roman" w:hAnsi="Calibri" w:cs="Calibri"/>
            <w:color w:val="0563C1"/>
            <w:sz w:val="20"/>
            <w:szCs w:val="20"/>
            <w:u w:val="single"/>
          </w:rPr>
          <w:t>https://doi.org/10.1177/15381927211052654</w:t>
        </w:r>
      </w:hyperlink>
    </w:p>
    <w:p w14:paraId="78B1BB8B" w14:textId="77777777" w:rsidR="00624C64" w:rsidRDefault="00624C64"/>
    <w:sectPr w:rsidR="0062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49"/>
    <w:rsid w:val="00624C64"/>
    <w:rsid w:val="00D9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6A9D02"/>
  <w15:chartTrackingRefBased/>
  <w15:docId w15:val="{B24BDE99-E005-524E-AB90-FE6E5316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5C49"/>
  </w:style>
  <w:style w:type="character" w:styleId="Hyperlink">
    <w:name w:val="Hyperlink"/>
    <w:basedOn w:val="DefaultParagraphFont"/>
    <w:uiPriority w:val="99"/>
    <w:semiHidden/>
    <w:unhideWhenUsed/>
    <w:rsid w:val="00D95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67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77%2F15381927211052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Daniel</dc:creator>
  <cp:keywords/>
  <dc:description/>
  <cp:lastModifiedBy>Robinson, Daniel</cp:lastModifiedBy>
  <cp:revision>1</cp:revision>
  <dcterms:created xsi:type="dcterms:W3CDTF">2022-02-08T16:38:00Z</dcterms:created>
  <dcterms:modified xsi:type="dcterms:W3CDTF">2022-02-08T16:39:00Z</dcterms:modified>
</cp:coreProperties>
</file>